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259 vom 25. März 2015</w:t>
      </w:r>
    </w:p>
    <w:p>
      <w:r>
        <w:t>VD Tribunal cantonal, 2015-03-25, FR</w:t>
      </w:r>
    </w:p>
    <w:p>
      <w:r>
        <w:rPr>
          <w:b/>
        </w:rPr>
        <w:t xml:space="preserve">Quelle: </w:t>
      </w:r>
      <w:r>
        <w:t>https://mcp.opencaselaw.ch/entscheid/vd_findinfo_D_cision___2015___259</w:t>
      </w:r>
    </w:p>
    <w:p>
      <w:r>
        <w:t>FR: VD_FINDINFO Décision / 2015 / 259 du 25 mars 2015</w:t>
      </w:r>
    </w:p>
    <w:p>
      <w:r>
        <w:t>IT: VD_FINDINFO Décision / 2015 / 259 del 25 marzo 2015</w:t>
      </w:r>
    </w:p>
    <w:p>
      <w:pPr>
        <w:pStyle w:val="Heading2"/>
      </w:pPr>
      <w:r>
        <w:t>Regeste</w:t>
      </w:r>
    </w:p>
    <w:p>
      <w:r>
        <w:t>CLASSEMENT DE LA PROCÉDURE, DÉCISION SUR FRAIS | 319 CPP (CH), 426 al. 2 CPP (CH)</w:t>
      </w:r>
    </w:p>
    <w:p>
      <w:pPr>
        <w:pStyle w:val="Heading2"/>
      </w:pPr>
      <w:r>
        <w:t>Erwägungen</w:t>
      </w:r>
    </w:p>
    <w:p>
      <w:r>
        <w:rPr>
          <w:b/>
        </w:rPr>
        <w:t>E. 1.1</w:t>
      </w:r>
    </w:p>
    <w:p>
      <w:r>
        <w:t>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par le prévenu qui a qualité pour recourir (art. 382 al. 1 CPP) dans la mesure où il conteste la mise à sa charge des frais de procédure (CREP 12 novembre 2013/677),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ne conteste que la mise à sa charge des frais de procédure, par 200 francs. La valeur litigieuse place donc le recours dans la compétence d’un juge unique de la Chambre des recours pénale (art. 395 let. b CPP).</w:t>
      </w:r>
    </w:p>
    <w:p>
      <w:r>
        <w:rPr>
          <w:b/>
        </w:rPr>
        <w:t>E. 2.1</w:t>
      </w:r>
    </w:p>
    <w:p>
      <w:r>
        <w:t>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w:t>
      </w:r>
    </w:p>
    <w:p>
      <w:r>
        <w:rPr>
          <w:b/>
        </w:rPr>
        <w:t>E. 2.2</w:t>
      </w:r>
    </w:p>
    <w:p>
      <w:r>
        <w:t>En l'espèce, le recourant invoque sa bonne foi et donne sa propre version des faits pour justifier qu'aucun frais ne soit mis à sa charge. Pour le reste, il excipe de son impécuniosité. Or, au vu des divers éléments figurant au dossier, notamment des documents produits avec la plainte du 20 juillet 2013 et répertoriés sous chiffre 4/1, les allégations de la plaignante sont nettement plus crédibles que celles du prévenu. Dans ces circonstances, c'est à juste titre que le procureur a considéré que le comportement du prévenu à l'égard de la plaignante était constitutif d'une atteinte manifeste aux droits de la personnalité au sens des art. 28 et suivants CC (Code civil; RS 210), de sorte qu’il est civilement illicite (cf. notamment CREP 10 septembre 2014/663; CREP 24 février 2014/149). Ce comportement a provoqué l’ouverture de la procédure pénale. Il justifie dès lors la mise des frais à la charge du prévenu libéré par suite du retrait de la plainte, en application de l’art. 426 al. 2 CPP. L'ordonnance attaquée échappe ainsi à la critique.</w:t>
      </w:r>
    </w:p>
    <w:p>
      <w:r>
        <w:rPr>
          <w:b/>
        </w:rPr>
        <w:t>E. 2.3</w:t>
      </w:r>
    </w:p>
    <w:p>
      <w:r>
        <w:t>Il est au surplus loisible au prévenu de solliciter des facilités de paiement auprès du service de recouvrement pour s’acquitter des frais de procédure au moyen d’acomptes.</w:t>
      </w:r>
    </w:p>
    <w:p>
      <w:r>
        <w:rPr>
          <w:b/>
        </w:rPr>
        <w:t>E. 3</w:t>
      </w:r>
    </w:p>
    <w:p>
      <w:r>
        <w:t>Il résulte de ce qui précède que le recours doit être rejeté et l’ordonnance attaquée confirmée. Les frais de la procédure de recours, constitués en l’espèce du seul émolument d'arrêt, par 450 fr. (art. 20 al. 1 TFJP [tarif des frais judiciaires pénaux; RSV 312.03.1]), seront mis à la charge du recourant, qui succombe (art. 428 al. 1 CPP). Par ces motifs, le juge unique prononce : I. Le recours est rejeté. II. L'ordonnance du 5 mars 2015 est confirmée. III. Les frais d'arrêt, par 450 fr. (quatre cent cinquante francs), sont mis à la charge de P.________. IV. Le présent arrêt est exécutoire. Le juge unique :               La greffière : Du Le présent arrêt qui précède, dont la rédaction a été approuvée à huis clos, est notifié, par l'envoi d'une copie complète, à : - M. P.________, - Mme U.________,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