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253 vom 25. März 2015</w:t>
      </w:r>
    </w:p>
    <w:p>
      <w:r>
        <w:t>VD Tribunal cantonal, 2015-03-25, FR</w:t>
      </w:r>
    </w:p>
    <w:p>
      <w:r>
        <w:rPr>
          <w:b/>
        </w:rPr>
        <w:t xml:space="preserve">Quelle: </w:t>
      </w:r>
      <w:r>
        <w:t>https://mcp.opencaselaw.ch/entscheid/vd_findinfo_D_cision___2015___253</w:t>
      </w:r>
    </w:p>
    <w:p>
      <w:r>
        <w:t>FR: VD_FINDINFO Décision / 2015 / 253 du 25 mars 2015</w:t>
      </w:r>
    </w:p>
    <w:p>
      <w:r>
        <w:t>IT: VD_FINDINFO Décision / 2015 / 253 del 25 marzo 2015</w:t>
      </w:r>
    </w:p>
    <w:p>
      <w:pPr>
        <w:pStyle w:val="Heading2"/>
      </w:pPr>
      <w:r>
        <w:t>Regeste</w:t>
      </w:r>
    </w:p>
    <w:p>
      <w:r>
        <w:t>SÉQUESTRE{MESURE PROVISIONNELLE}, FRAIS DE LA PROCÉDURE, MINIMUM VITAL | 263 al. 1 let. b CPP (CH), 268 CPP (CH)</w:t>
      </w:r>
    </w:p>
    <w:p>
      <w:pPr>
        <w:pStyle w:val="Heading2"/>
      </w:pPr>
      <w:r>
        <w:t>Erwägungen</w:t>
      </w:r>
    </w:p>
    <w:p>
      <w:r>
        <w:rPr>
          <w:b/>
        </w:rPr>
        <w:t>E. 1.1</w:t>
      </w:r>
    </w:p>
    <w:p>
      <w:r>
        <w:t>Aux termes de l’art. 393 al. 1 let. a CPP, le recours est recevable contre les décisions et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(Moreillon/Parein-Reymond, Petit Commentaire du Code de procédure pénale, Bâle 2013, n. 24 ad art. 263 CPP ; Lembo/Julen Berthod, in : Kuhn/Jeanneret [éd.], Commentaire romand, Code de procédure pénale suisse, Bâle 2011, n. 4 ad art. 267 CPP ; CREP 20 janvier 2015/55 ; CREP 16 janvier 2015/32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RSV 312.01] ; art. 80 LOJV [loi vaudoise du 12 décembre 1979 d’organisation judiciaire ; RSV 173.01]).</w:t>
      </w:r>
    </w:p>
    <w:p>
      <w:r>
        <w:rPr>
          <w:b/>
        </w:rPr>
        <w:t>E. 1.2</w:t>
      </w:r>
    </w:p>
    <w:p>
      <w:r>
        <w:t>En l'espèce, le recours a été interjeté dans le délai légal auprès de l’autorité compétente, par l'ayant droit des biens objets du séquestre, qui a qualité pour recourir (art. 382 al. 1 CPP), et dans les formes prescrites (art. 385 al. 1 CPP), de sorte qu’il est recevable.</w:t>
      </w:r>
    </w:p>
    <w:p>
      <w:r>
        <w:rPr>
          <w:b/>
        </w:rPr>
        <w:t>E. 2.1</w:t>
      </w:r>
    </w:p>
    <w:p>
      <w:r>
        <w:t>B.________ conteste que les conditions de l’art. 268 CPP soient remplies. Elles soutient à cet égard que le Procureur n’aurait aucunement instruit la question du minimum vital, l’ordonnance en question ne comportant qu’une référence toute générale à ses ressources et à ses besoins financiers. Elle invoque en outre une violation du principe de la proportionnalité, exposant qu’il n’y aurait pas d’indice permettant de craindre qu’elle puisse se soustraire à la procédure par la fuite et, partant, que le recouvrement ultérieur des frais de justice soit infructueux. Enfin, elle fait valoir que le séquestre litigieux ne serait pas apte à produire les résultats escomptés, puisque les frais seront bien supérieurs à 1'000 francs.</w:t>
      </w:r>
    </w:p>
    <w:p>
      <w:r>
        <w:rPr>
          <w:b/>
        </w:rPr>
        <w:t>E. 2.2</w:t>
      </w:r>
    </w:p>
    <w:p>
      <w:r>
        <w:t>Conformément à l'art. 197 al. 1 CPP, le séquestre ne peut être ordonné qu'aux conditions suivantes :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op. cit., n. 17 ad art. 263 CPP). Si le motif de séquestre disparaît, le ministère public ou le tribunal lève la mesure et restitue les objets et valeurs patrimoniales à l’ayant droit (art. 267 al. 1 CPP). 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RS 281.1) sont exclues du séquestre (al. 3). Comme toute autre mesure de séquestre, celui en couverture des frais est fondé sur la vraisemblance. Tant que l'instruction n'est pas achevée, une simple probabilité suffit, car la saisie se rapporte à des prétentions encore incertaines. L'autorité pénale doit pouvoir décider rapidement du séquestre provisoire (cf. art. 263 al. 2 CPP), ce qui exclut qu'elle résolve des questions juridiques complexes ou qu'elle attende d'être renseignée de manière exacte et complète sur les faits avant d'agir (ATF 116 Ib 96 c. 3a; TF 1B_136/2014 du 14 mai 2014 c. 2.1).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(TF 1B_136/2014 précité c. 2.1; TF 1B_274/2012 du 11 juillet 2012 c. 3.1). Le principe de la proportionnalité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(TF 1B_136/2014 précité c. 2.1 et les références citées). Le principe de la proportionnalité entre aussi en ligne de compte lorsqu'il s'agit de déterminer la valeur des biens à mettre sous séquestre; sous cet angle, le respect de ce principe se limite pour l'essentiel à la garantie du minimum vital (ibidem). Quant au montant définitif des frais judiciaires, il ne sera connu qu'à l'issue de la procédure et le principe de proportionnalité n'est violé que si le montant saisi en garantie des coûts de procédure est manifestement disproportionné par rapport aux coûts estimés (ibidem).</w:t>
      </w:r>
    </w:p>
    <w:p>
      <w:r>
        <w:rPr>
          <w:b/>
        </w:rPr>
        <w:t>E. 2.3</w:t>
      </w:r>
    </w:p>
    <w:p>
      <w:r>
        <w:t>En l’espèce, B.________ a admis avoir détourné des montants importants au préjudice de son ancien employeur et avoir fabriqué de faux documents (PV aud. 1, R. 5 ss et 17 ; PV aud. 4, lignes 68 ss et 121), de sorte que, selon toute vraisemblance, elle devra supporter le paiement des frais de procédure (art. 426 al. 1 CPP). Certes, la question de la garantie du minimum vital de la recourante (art. 268 al. 2 et 3 CPP précité) n’a pas été examinée de manière approfondie par le Procureur, mais l’intéressée a décrit de manière précise sa situation financière lors de son audition du 5 février 2015. Il ressort de ses déclarations que la prévenue, divorcée et sans enfants à charge, vit en couple avec [...] depuis 2009 ou 2010. Elle a affirmé percevoir des prestations de chômage correspondant à 80 % de son ancien salaire brut de 3'200 fr., une rente AI de 1'175 fr. et une rente invalidité LPP de 1'500 fr. (PV aud. 1, p. 4). Elle serait également copropriétaire de l’appartement dans lequel elle vit avec son ami ; ses fonds propres investis s’élèveraient à plus de 200'000 fr., soit 125'000 fr. correspondant au bénéfice retiré de la vente de son ancienne maison familiale, plus 80'000 fr. de son deuxième pilier. Elle posséderait en outre une voiture et aurait conclu un 3 e pilier de 100'000 fr. auprès de la [...]. Contrairement à ce qu’elle soutient, on ne saurait dire que le concubinage stable aurait un effet sur ses charges mensuelles mais non sur ses revenus (P. 29). Si elle n’a pas la « libre disposition du salaire de son ami » ( ibidem ; PV aud. 4, ligne137), elle en bénéficie néanmoins ; il suffit de relever à cet égard que ce dernier a financé l’achat du véhicule conduit par l’intéressée, ainsi que divers voyages, et que le couple dispose d’un compte commun (PV aud. 1, p. 4 ; PV aud. 4, lignes 39 et 78 ; PV aud. 7, R. 30), de sorte qu’il y a lieu de tenir compte dans cette mesure des revenus – de l’ordre de 8'000 à 8'500 fr. net par mois – du compagnon de la prévenue. S’agissant de ses charges, cette dernière a déclaré ne payer que la moitié des frais liés à l’appartement, à savoir 1'000 fr. d’intérêts, 500 fr. de frais PPE et 500 fr. d’amortissement, soit au total environ 2'100 fr. (PV aud. 1, p. 3). Elle a encore déclaré avoir des dettes privées à hauteur de quelque « 60'000 ou 72'000 fr. » en lien avec des emprunts bancaires qu’elle rembourserait actuellement, mais ses explications à cet égard sont vagues et contradictoires. Compte tenu de ces éléments, il y a lieu de constater que le minimum vital de la recourante n’est pas entamé par le séquestre litigieux, étant relevé que la dette envers son ancien employeur en raison des faits qui lui sont reprochés dans la présente cause ne joue aucun rôle dans la détermination du minimum vital. On ignore certes le montant de ses primes d’assurance-maladie et s’il existe d’autres charges, en sus de celles dont l’intéressée a fait état, mais on peut douter que ces éléments complémentaires incompressibles ne soient pas couverts par le total des revenus. En outre, on ne saurait suivre le raisonnement de la recourante selon lequel son minimum vital serait entamé compte tenu de sa pénalisation par le chômage ensuite de son licenciement pour faute grave (P. 29), puisqu’elle a elle-même admis que la période de carence prendrait fin en février 2015 (PV aud. 4, lignes 135 et 136). Hormis le montant séquestré, l’intéressée n’a pratiquement pas d’économies, de sorte qu’il est sérieusement à craindre qu’elle ne paie pas les frais de procédure qui pourraient être mis à sa charge, d’autant plus au vu des divers emprunts contractés et de sa propension au jeu (P. 23 et 24), que la prévenue qualifie elle-même d’« addiction » et de conduite « compulsive » (PV aud. 7, R. 34 p. 10 in initio ). Enfin, peu importe que le montant séquestré soit insuffisant pour couvrir les frais de procédure. Au vu de ce qui précède, le séquestre litigieux fondé sur les art. 263 al. 1 let. b et 268 CPP est justifié et conforme au principe de la proportionnalité. Par conséquent, l’ordonnance de levée partielle de séquestre ne prête pas le flanc à la critique.</w:t>
      </w:r>
    </w:p>
    <w:p>
      <w:r>
        <w:rPr>
          <w:b/>
        </w:rPr>
        <w:t>E. 3</w:t>
      </w:r>
    </w:p>
    <w:p>
      <w:r>
        <w:t>En définitive, le recours doit être rejeté sans autres échanges d’écritures (art. 390 al. 2 CPP) et l’ordonnance attaquée confirmée.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450 fr. plus la TVA par 36 fr., soit au total 486 fr.,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12 février 2015 est confirmée. III. L'indemnité allouée au défenseur d'office de B.________ est fixée à 486 fr. (quatre cent huitante-six francs). IV. Les frais d'arrêt, par 880 fr. (huit cent huitante francs), ainsi que l'indemnité due au défenseur d'office de B.________, par 486 (quatre cent huitante-six francs), sont mis à la charge de cette dernière. V. Le remboursement à l'Etat de l'indemnité allouée au chiffre III ci-dessus sera exigible pour autant que la situation économique de B.________ se soit améliorée. VI. Le présent arrêt est exécutoire. Le président :               Le greffier : Du L'arrêt qui précède, dont la rédaction a été approuvée à huis clos, est notifié, par l'envoi d'une copie complète, à : - M. Raphaël Tatti, avocat (pour B.________), - Banque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