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245 vom 22. Januar 2015</w:t>
      </w:r>
    </w:p>
    <w:p>
      <w:r>
        <w:t>VD Tribunal cantonal, 2015-01-22, FR</w:t>
      </w:r>
    </w:p>
    <w:p>
      <w:r>
        <w:rPr>
          <w:b/>
        </w:rPr>
        <w:t xml:space="preserve">Quelle: </w:t>
      </w:r>
      <w:r>
        <w:t>https://mcp.opencaselaw.ch/entscheid/vd_findinfo_D_cision___2015___245</w:t>
      </w:r>
    </w:p>
    <w:p>
      <w:r>
        <w:t>FR: VD_FINDINFO Décision / 2015 / 245 du 22 janvier 2015</w:t>
      </w:r>
    </w:p>
    <w:p>
      <w:r>
        <w:t>IT: VD_FINDINFO Décision / 2015 / 245 del 22 gennaio 2015</w:t>
      </w:r>
    </w:p>
    <w:p>
      <w:pPr>
        <w:pStyle w:val="Heading2"/>
      </w:pPr>
      <w:r>
        <w:t>Regeste</w:t>
      </w:r>
    </w:p>
    <w:p>
      <w:r>
        <w:t>RÉCUSATION | 56 CPP (CH)</w:t>
      </w:r>
    </w:p>
    <w:p>
      <w:pPr>
        <w:pStyle w:val="Heading2"/>
      </w:pPr>
      <w:r>
        <w:t>Erwägungen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les demandes de récusation présentées par K.J.________ et B.J.________ à l’encontre du Procureur A.________ (art. 13 LVCPP [loi d’introduction du code de procédure pénale suisse ; RSV 312.01]).</w:t>
      </w:r>
    </w:p>
    <w:p>
      <w:r>
        <w:rPr>
          <w:b/>
        </w:rPr>
        <w:t>E. 1.2</w:t>
      </w:r>
    </w:p>
    <w:p>
      <w:r>
        <w:t>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(TF 1B_561/2011 du 30 janvier 2012 c. 2.1 et les réf. cit.). En l’occurrence, à la demande du procureur, la duplique de ce dernier du 14 janvier 2015 n’a pas été transmise aux requérants, en raison des impératifs de l’instruction en cours et du délai au 16 février 2015 imparti aux requérants pour se déterminer sur leur absence à l’audience du 10 décembre 2014, délai qui est postérieur au présent arrêt. Ainsi, faute de communication aux parties requérantes, il ne sera pas tenu compte des déterminations du procureur du 14 janvier 2015 dans l’examen des requêtes de récusation, afin de ne pas violer le droit d’être entendu des requérants.</w:t>
      </w:r>
    </w:p>
    <w:p>
      <w:r>
        <w:rPr>
          <w:b/>
        </w:rPr>
        <w:t>E. 2.1</w:t>
      </w:r>
    </w:p>
    <w:p>
      <w:r>
        <w:t>En substance, les requérants soutiennent que les mandat d’amener rendus le 9 décembre 2014 seraient abusifs, disproportionnés et infondés. Ils se plaignent des conséquences et de la manière dont le procureur a requis l’intervention des forces de police le 10 décembre 2014. Selon les requérants, l’attitude du procureur démontrerait que celui-ci n’instruirait qu’à décharge et que sa conviction serait donc déjà faite.</w:t>
      </w:r>
    </w:p>
    <w:p>
      <w:r>
        <w:rPr>
          <w:b/>
        </w:rPr>
        <w:t>E. 2.2</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 TF 1B_129/2014 du 16 mai 2014 c. 2.1). Enfin, n'emportent pas prévention une décision défavorable à une partie (TF 1B_105/2013 précité c. 2.1 ; TF 1B_365/2009 du 22 mars 2010 c. 3.3) ou un refus d'administrer une preuve (ATF 116 Ia 135 ; Verniory, in : Kuhn/Jeanneret, Commentaire romand, Code de procédure pénale suisse, Bâle 2011, n. 35 ad art. 56 CPP).</w:t>
      </w:r>
    </w:p>
    <w:p>
      <w:r>
        <w:rPr>
          <w:b/>
        </w:rPr>
        <w:t>E. 2.3</w:t>
      </w:r>
    </w:p>
    <w:p>
      <w:r>
        <w:t>En l’espèce, on relèvera d’abord que les convocations du 23 octobre 2014 à l’audience du 10 décembre 2014 s’appuient sur les deux rapports d’expertise concernant les requérants et concluant que ceux-ci sont aptes à participer à la procédure pénale et aux audiences. Le procureur n’avait donc plus à temporiser, d’autant moins que les requérants persistaient à expliquer leurs arguments par écrit, de manière peu compréhensible, cherchant à éviter à tout prix une comparution, alors même que celle-ci permettrait au procureur de saisir leurs arguments. Il était donc opportun de citer les intéressés à une audience sans attendre, d’autant plus que rien ne s’y opposait d’un point de vue médical. A cela s’ajoute le fait que, dans un but de célérité de la procédure (cf. art. 5 al. 1 CPP), il existe une nécessité à ce que les requérants comparaissent dorénavant aux audiences auxquelles ils sont convoqués, puisque, comme le relève le procureur dans sa prise de position du 30 décembre 2014, ils n’ont donné suite à aucun mandat de comparution, que ce soit dans la présente procédure ou dans d’autres procédures pénales ouvertes contre eux, soit depuis le mois de juin 2012 s’agissant de B.J.________ et depuis le mois de janvier 2013 s’agissant de K.J.________. Quant aux mandats d’amener décernés le 9 décembre 2014, on relèvera d’abord que dans la présente procédure, les requérants ont été cités à comparaître par mandats des 6 mars 2013, 22 août 2013 et 23 octobre 2014 et qu’ils ont fait défaut à toutes les audiences fixées. En outre, comme déjà mentionné précédemment, les requérants n’ont donné suite à aucun mandat de comparution dans d’autres procédures pénales ouvertes contre eux devant le Ministère public de l’arrondissement de l’Est vaudois. Par ailleurs, les intéressés ont à chaque fois réagi aux convocations en invoquant en particulier l’excuse de l’inaptitude pour des raisons médicales. Or, comme cela résulte des rapports d’expertise, ces raisons n’étaient pas fondées. Au vu de l’ensemble de ces éléments, il existait suffisamment d’indices laissant penser que les requérants ne se présenteraient pas à l’audience du 10 décembre 2014. Par conséquent, les mandats d’amener délivrés le 9 décembre 2014 pour la comparution du 10 décembre 2014 se justifiaient, conformément à l’art. 207 al. 1 let. b CPP. Au vu de ce qui précède, les mandats d’amener délivrés le 9 décembre 2014, qui font d’ailleurs l’objet de recours séparés des requérants, ont été délivrés conformément aux mesures qui sont du ressort d’un procureur et ne démontrent aucun élément objectif qui fonderait une apparence de prévention et justifierait une récusation, ce qui n’est pas sans rappeler que la cour de céans a déjà rejeté deux demandes de récusation du Procureur A.________ dans la présente cause (cf. CREP 19 avril 2013/425 et CREP 6 mars 2014/176). Au demeurant, la voie de la récusation n’est pas ouverte au plaideur qui entend contester les décisions de procédure, la voie du recours ou de l’appel étant adéquate.</w:t>
      </w:r>
    </w:p>
    <w:p>
      <w:r>
        <w:rPr>
          <w:b/>
        </w:rPr>
        <w:t>E. 3</w:t>
      </w:r>
    </w:p>
    <w:p>
      <w:r>
        <w:t>Il résulte de ce qui précède que les demandes de récusation présentées les 14 et 15 décembre 2014 par K.J.________ et B.J.________ doivent être rejetées. Les frais de procédure, constitués en l’espèce de l’émolument de décision, par 990 fr. (art. 20 al. 1 TFIP [Tarif des frais de procédure et indemnités en matière pénale du 28 septembre 2010; RSV 312.03.1]), seront mis à la charge des requérants (art. 59 al. 4 CPP), par moitié chacun (art. 418 al. 1 CPP). Il est précisé que la présente décision sera notifiée uniquement à l’avocat François Pidoux, défenseur d’office des requérants, quand bien même ceux-ci ont agi seuls. En effet, si les parties sont pourvues d’un conseil juridique, les communications sont valablement notifiées à celui-ci (art. 87 al. 3 CPP ; JT 2012 III 146). Par ces motifs, la Chambre des recours pénale prononce : I. Les demandes de récusation présentées les 14 et 15 décembre 2014 par K.J.________ et B.J.________ à l’encontre du Procureur A.________ sont rejetées. II. Les frais de la décision, par 990 fr. (neuf cent nonante francs), sont mis par moitié à la charge de K.J.________, soit par 495 fr. (quatre cent nonante-cinq francs), et par moitié à la charge de B.J.________, soit par 495 fr. (quatre cent nonante-cinq francs). III. La présente décision est exécutoire. Le président :               La greffière : Du La présente décision, dont la rédaction a été approuvée à huis clos, est notifiée, par l'envoi d'une copie complète, à : ‑ M. François Pidoux, avocat (pour K.J.________ et B.J.________),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