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231 vom 18. März 2015</w:t>
      </w:r>
    </w:p>
    <w:p>
      <w:r>
        <w:t>VD Tribunal cantonal, 2015-03-18, FR</w:t>
      </w:r>
    </w:p>
    <w:p>
      <w:r>
        <w:rPr>
          <w:b/>
        </w:rPr>
        <w:t xml:space="preserve">Quelle: </w:t>
      </w:r>
      <w:r>
        <w:t>https://mcp.opencaselaw.ch/entscheid/vd_findinfo_D_cision___2015___231</w:t>
      </w:r>
    </w:p>
    <w:p>
      <w:r>
        <w:t>FR: VD_FINDINFO Décision / 2015 / 231 du 18 mars 2015</w:t>
      </w:r>
    </w:p>
    <w:p>
      <w:r>
        <w:t>IT: VD_FINDINFO Décision / 2015 / 231 del 18 marzo 2015</w:t>
      </w:r>
    </w:p>
    <w:p>
      <w:pPr>
        <w:pStyle w:val="Heading2"/>
      </w:pPr>
      <w:r>
        <w:t>Regeste</w:t>
      </w:r>
    </w:p>
    <w:p>
      <w:r>
        <w:t>DÉTENTION{INCARCÉRATION}, RISQUE DE FUITE, RISQUE DE RÉCIDIVE, SOUPÇON | 221 al. 1 let. a CPP (CH), 221 al. 1 let. c CPP (CH), 222 CPP (CH), 228 CPP (CH), 393 al. 1 let. a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12 février 2015/111; CREP 7 février 2011/14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En l’espèce, le recours a été interjeté en temps utile devant l’autorité compétente, par le détenu, qui a qualité pour recourir (cf. art. 382 al. 1 CPP), et dans les formes prescrites (cf. art. 385 al. 1 CPP), de sorte qu’il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("risque de fuite") (a), qu’il compromette la recherche de la vérité en exerçant une influence sur des personnes ou en altérant des moyens de preuve ("risque de collusion") (b) ou qu’il compromette sérieusement la sécurité d’autrui par des crimes ou des délits graves après avoir déjà commis des infractions du même genre ("risque de réitération") (c). Selon l’art. 228 CPP, le prévenu peut en principe présenter en tout temps, par écrit ou oralement pour mention au procès-verbal, une demande de mise en liberté au ministère public (al. 1); si celui-ci n'entend pas donner une suite favorable à la demande, il la transmet au tribunal des mesures de contrainte au plus tard dans les trois jours à compter de sa réception, en y joignant une prise de position motivée (al. 2, 2 e phrase).</w:t>
      </w:r>
    </w:p>
    <w:p>
      <w:r>
        <w:rPr>
          <w:b/>
        </w:rPr>
        <w:t>E. 2.2</w:t>
      </w:r>
    </w:p>
    <w:p>
      <w:r>
        <w:t>S’agissant des soupçons qui doivent peser sur le prévenu,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TF 1B_39/2014 du 11 février 2014 c. 2.2). En l'occurrence, une investigation secrète a permis de découvrir que le prévenu avait diffusé à plusieurs reprises des fichiers pédopornographiques en Suisse par le biais de logiciels de partages de fichiers privés. 572 vidéos et 1412 photos ont au demeurant été retrouvées dans son matériel informatique. Pour le reste, G.________ a admis avoir incité un enfant à commettre un acte d'ordre sexuel en Roumanie et avoir mis des photos de cet enfant prises à cette occasion à disposition de tiers. Il existe donc manifestement des soupçons suffisants à l'encontre du prévenu au sens de l'art. 221 al. 1 CPP.</w:t>
      </w:r>
    </w:p>
    <w:p>
      <w:r>
        <w:rPr>
          <w:b/>
        </w:rPr>
        <w:t>E. 2.3</w:t>
      </w:r>
    </w:p>
    <w:p>
      <w:r>
        <w:t>Le Tribunal a considéré que tant le risque de fuite que le risque de réitération étaient réalisés dans le cas particulier, ce que le recourant conteste.</w:t>
      </w:r>
    </w:p>
    <w:p>
      <w:r>
        <w:rPr>
          <w:b/>
        </w:rPr>
        <w:t>E. 2.3.1</w:t>
      </w:r>
    </w:p>
    <w:p>
      <w:r>
        <w:t>Selon le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(TF 1B_87/2014 du 19 mars 2014 c. 3.1; TF 1B_145/2012 du 19 avril 2012 c. 3.1 non publié aux ATF 138 IV 81). Il convient de relever en l'espèce que le prévenu est un ressortissant français, au seul bénéfice en Suisse d'un permis L. Il n'a pas de domicile légal dans notre pays et, avant son interpellation, il vivait dans une camionnette aménagée et, occasionnellement, dans l'appartement d'une tierce personne dont il ne disposait toutefois pas des clés. Il n'a pas de projet précis pour son avenir. Dans ces circonstances, et compte tenu de la gravité des faits reprochés au prévenu, le risque de fuite apparaît concret dès lors qu'il est sérieusement à craindre qu'il soit tenté de passer la frontière ou, à tout le moins, de tomber dans la clandestinité pour échapper aux poursuites pénales dont il fait actuellement l'objet. A cet égard, les mesures de substitution proposées par le prévenu ne sont pas suffisantes pour parer à ce risque: le fait de déposer ses papiers et de se présenter régulièrement à la police n'empêchera pas le prévenu de se rendre en France, tant il est aisé de traverser la frontière sans papiers d'identité. De plus, le prévenu ne pourrait être extradé sans son accord s'il retournait dans son pays d'origine.</w:t>
      </w:r>
    </w:p>
    <w:p>
      <w:r>
        <w:rPr>
          <w:b/>
        </w:rPr>
        <w:t>E. 2.3.2</w:t>
      </w:r>
    </w:p>
    <w:p>
      <w:r>
        <w:t>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"infraction du même genre" indique que les infractions précédentes doivent être des crimes ou des délits et que l'infraction redoutée doit être similaire, sans pour autant être identique (Schmocker, in : Kuhn/Jeanneret [éd.], Commentaire romand, Code de procédure pénale suisse, Bâle 2011, n. 18 ad art. 221 CPP; ATF 137 IV 13 c. 3 et 4). Le maintien en détention provisoire respectivement pour des motifs de sûreté se justifie si le pronostic est très défavorable et si les infractions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La détention peut également être ordonnée s'il y a sérieusement lieu de craindre qu'une personne passe à l'acte après avoir menacé de commettre un crime grave (art. 221 al. 2 CPP). Dans le cadre de la présente enquête, G.________ a été soumis à une expertise psychiatrique, dont le rapport a été déposé le 8 décembre 2014 (P. 7). L'expert a posé le diagnostic d'hébéphilie (CIM-10 F. 65.9), soit l'attirance sexuelle éprouvée par un adulte envers les jeunes adolescents, et a considéré que le prévenu présentait un risque élevé de récidive (cf. P. 7, rép. ad 1.2 et 3.1). Il ressort également du casier judiciaire français de G.________ qu'il a été condamné le 10 novembre 2010 par le Tribunal correctionnel de Metz à trois mois d'emprisonnement avec sursis pour détention de l'image d'un mineur présentant un caractère pornographique. Au vu de ce qui précède, c'est à bon droit que le Tribunal des mesures de contrainte a retenu que le risque de réitération demeurait concret dans le cas particulier. Certes, comme le dit l'expert, ce risque pourrait être atténué en cas de traitement. Ce n'est toutefois qu'à l'issue du traitement ou, à tout le moins, au cours de celui-ci que le risque de récidive pourrait le cas échéant diminuer mais pas au début d'une prise en charge. En l'état, le risque demeure et un simple engagement du recourant à mettre les choses en place à sa sortie de prison n'est pas suffisant pour parer au risque mis en évidence par l'expert. Ce médecin précise d'ailleurs que le traitement peut être mis en œuvre dans le cadre de la détention (cf. P. 7, rép. ad 4.5 i.f.).</w:t>
      </w:r>
    </w:p>
    <w:p>
      <w:r>
        <w:rPr>
          <w:b/>
        </w:rPr>
        <w:t>E. 2.4</w:t>
      </w:r>
    </w:p>
    <w:p>
      <w:r>
        <w:t>La détention provisoire doit encore être conforme au principe de la proportionnalité. Cette condition, qui doit être examinée au regard de l’ensemble des circonstances concrètes du cas d’espèce, implique en particulier que le juge ne peut maintenir la détention avant jugement qu’aussi longtemps qu’elle n’est pas très proche de la durée de la peine privative de liberté à laquelle il faut s’attendre concrètement en cas de condamnation (art. 212 al. 3 CPP; cf. ATF 133 I 168 c. 4.1; ATF 132 I 21 c. 4.1). Toutefois, le fait que la peine encourue puisse être assortie du sursis, total ou partiel, n'est pas déterminant sous l'angle de la proportionnalité (ATF 133 I 270 c. 3.4.2). En l'espèce, au vu des actes reprochés au recourant, qui n'aurait pas seulement consommé et diffusé de la pédopornographie mais également incité en Roumanie un enfant à commettre un acte d'ordre sexuel, la durée de la détention avant jugement subie à ce jour ne s’approche pas encore de la durée de la peine privative de liberté à laquelle il faudrait s’attendre concrètement en cas de condamnation, compte tenu notamment du concours d'actes, de l'intensité de l'activité délictueuse et des antécédents du prévenu.</w:t>
      </w:r>
    </w:p>
    <w:p>
      <w:r>
        <w:rPr>
          <w:b/>
        </w:rPr>
        <w:t>E. 3</w:t>
      </w:r>
    </w:p>
    <w:p>
      <w:r>
        <w:t>En définitive, le recours doit être rejeté sans autre échange d’écritures (art. 390 al. 2 CPP) et l'ordonnance du 2 mars 2015 confirmée. L’indemnité due au défenseur d’office du recourant sera fixée à 540 fr., plus la TVA, par 43 fr. 20, ce qui porte le montant alloué à 583 fr. 20. Les frais de la procédure de recours, constitués en l'espèce de l'émolument d’arrêt, par 880 fr. (art. 20 al. 1 TFIP  [Tarif des frais de procédure et indemnités en matière pénale du 28 septembre 2010; RSV 312.03.1]), et des frais imputables à la défense d’office (art. 422 al. 1 et al. 2 let. a CPP), par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 mars 2015 est confirmée. III. L’indemnité due au défenseur d’office de G.________ est fixée à 583 fr. 20 (cinq cent huitante-trois francs et vingt centimes). IV. Les frais d'arrêt, par 880 fr. (huit cent huitante francs), ainsi que l'indemnité due au défenseur d'office de G.________, par 583 fr. 20, sont mis à la charge de ce dernier. V . Le remboursement à l’Etat de l’indemnité allouée au chiffre III ci-dessus sera exigible pour autant que la situation économique de G.________ se soit améliorée. VI. Le présent arrêt est exécutoire. Le président :               La greffière : Du Le présent arrêt, dont la rédaction a été approuvée à huis clos, est notifié, par l'envoi d'une copie complète, à : - M. Nicolas Blanc, avocat (pour G.________),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