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213 vom 4. Februar 2015</w:t>
      </w:r>
    </w:p>
    <w:p>
      <w:r>
        <w:t>VD Tribunal cantonal, 2015-02-04, FR</w:t>
      </w:r>
    </w:p>
    <w:p>
      <w:r>
        <w:rPr>
          <w:b/>
        </w:rPr>
        <w:t xml:space="preserve">Quelle: </w:t>
      </w:r>
      <w:r>
        <w:t>https://mcp.opencaselaw.ch/entscheid/vd_findinfo_D_cision___2015___213</w:t>
      </w:r>
    </w:p>
    <w:p>
      <w:r>
        <w:t>FR: VD_FINDINFO Décision / 2015 / 213 du 4 février 2015</w:t>
      </w:r>
    </w:p>
    <w:p>
      <w:r>
        <w:t>IT: VD_FINDINFO Décision / 2015 / 213 del 4 febbraio 2015</w:t>
      </w:r>
    </w:p>
    <w:p>
      <w:pPr>
        <w:pStyle w:val="Heading2"/>
      </w:pPr>
      <w:r>
        <w:t>Regeste</w:t>
      </w:r>
    </w:p>
    <w:p>
      <w:r>
        <w:t>SÉQUESTRE{MESURE PROVISIONNELLE}, RESTITUTION{EN GÉNÉRAL}, SUSPENSION DE LA PROCÉDURE | 267 al. 2 CPP (CH)</w:t>
      </w:r>
    </w:p>
    <w:p>
      <w:pPr>
        <w:pStyle w:val="Heading2"/>
      </w:pPr>
      <w:r>
        <w:t>Erwägungen</w:t>
      </w:r>
    </w:p>
    <w:p>
      <w:r>
        <w:rPr>
          <w:b/>
        </w:rPr>
        <w:t>E. 1</w:t>
      </w:r>
    </w:p>
    <w:p>
      <w:r>
        <w:t>Aux termes de l’art. 393 al. 1 let. a CPP, le recours est recevable contre les décisions et actes de procédure du Ministère public. Une ordonnance de suspension de la procédure pénale est ainsi susceptible de recours selon les art. 393 ss CPP (CREP 28 mai 2013/354 ; CREP 18 septembre 2014/685). Ce recours s’exerce auprès de l’autorité de recours (art. 20 al. 1 let. b CPP), qui, dans le canton de Vaud, est la Chambre des recours pénale du Tribunal cantonal (art. 13 LVCPP [loi vaudoise d’introduction du Code de procédure pénale suisse; RSV 312.01] ; art. 80 LOJV [loi vaudoise d’organisation judiciaire; RSV 173]). Le recours doit être adressé par écrit, dans un délai de dix jours dès la notification de la décision attaquée (art. 384 let. b CPP), à l’autorité de recours (art. 396 al. 1 CPP). Toute partie qui a un intérêt juridique à l’annulation ou à la modification de la décision a qualité pour recourir contre celle-ci (art. 382 al. 2 CPP). En l’espèce, le recours, déposé en temps utile, devant l’autorité compétente, par la partie plaignante qui a un intérêt juridique à l’annulation ou à la modification de la décision dès lors que les objets séquestrés lui appartiennent, est recevable.</w:t>
      </w:r>
    </w:p>
    <w:p>
      <w:r>
        <w:rPr>
          <w:b/>
        </w:rPr>
        <w:t>E. 2.1</w:t>
      </w:r>
    </w:p>
    <w:p>
      <w:r>
        <w:t>La recourante conteste les effets accessoires de la suspension de la procédure pénale et sollicite la restitution de ses biens. EIle fait valoir que le maintien pour une durée indéterminée du séquestre lui ferait subir un manque à gagner.</w:t>
      </w:r>
    </w:p>
    <w:p>
      <w:r>
        <w:rPr>
          <w:b/>
        </w:rPr>
        <w:t>E. 2.2</w:t>
      </w:r>
    </w:p>
    <w:p>
      <w:r>
        <w:t>Selon l’art. 267 al. 2 CPP, s’il est incontesté que des objets ou des valeurs patrimoniales ont été directement soustraits à une personne déterminée du fait de l’infraction, l’autorité pénale les restitue à l’ayant droit avant la clôture de l’enquête. La restitution au sens de l’art. 267 al. 2 CPP ne peut intervenir que lorsque l’ayant droit est connu et que les droits sur les biens libérés ne sont pas contestés ; à défaut, ce sont les art. 267 al. 4 à 6 CPP qui s’appliquent (Lembo/Julen Berthod, in: Kuhn/Jeanneret (éd.), Commentaire romand, Code de procédure pénale suisse, Bâle 2011, n. 15 ad art. 267 CPP, p. 1219). En vertu de l’art. 266 al. 5 CPP, les objets séquestrés sujets à une dépréciation rapide ou à un entretien dispendieux peuvent être réalisés immédiatement selon les dispositions de la Loi fédérale sur la poursuite pour dettes et la faillite (RS 281.1).</w:t>
      </w:r>
    </w:p>
    <w:p>
      <w:r>
        <w:rPr>
          <w:b/>
        </w:rPr>
        <w:t>E. 2.3</w:t>
      </w:r>
    </w:p>
    <w:p>
      <w:r>
        <w:t>En l’espèce, L.________ et ses comparses ont dérobé de nombreux objets. Cependant, il ne fait nul doute que les produits cosmétiques inventoriés et séquestrés sous fiche n° [...] proviennent d’une succursale du magasin V.________, ceux-ci étant encore dans leurs emballages d’origine et munis d’une inscription « V.________ ». En outre, la recourante est la seule à revendiquer ces objets. Au vu de ces indices, sa qualité de propriétaire ne fait pas de doute, de sorte que les objets doivent lui être restitués immédiatement, ce qui se justifie d’ailleurs d’autant plus que, s’agissant de produits cosmétiques, ces objets sont sujets à dépréciation.</w:t>
      </w:r>
    </w:p>
    <w:p>
      <w:r>
        <w:rPr>
          <w:b/>
        </w:rPr>
        <w:t>E. 3</w:t>
      </w:r>
    </w:p>
    <w:p>
      <w:r>
        <w:t>En définitive, le recours doit être admis et l’ordonnance attaquée réformée en ce sens que les objets séquestrés sous fiches n° [...] sont restitués à V.________ Grands magasins [...]. Les frais de la procédure de recours, constitués en l'espèce de l'émolument d'arrêt, par 550 fr. (art. 20 al. 1 TFIP [tarif des frais de procédure et indemnités en matière pénal du 28 septembre 2010; RSV 312.03.1]), seront laissés à la charge de l’Etat (art. 423 CPP). Par ces motifs, la Chambre des recours pénale prononce : I. Le recours est admis. II. L’ordonnance du 28 octobre 2014 est réformée au chiffre II de son dispositif en ce sens que les objets séquestrés sous fiche n° [...] sont restitués à V.________ Grands magasins [...], sis rue [...], Case postale [...], [...]. III. L’ordonnance est maintenue pour le surplus.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M. T.________ (pour V.________),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