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207 vom 10. März 2015</w:t>
      </w:r>
    </w:p>
    <w:p>
      <w:r>
        <w:t>VD Tribunal cantonal, 2015-03-10, FR</w:t>
      </w:r>
    </w:p>
    <w:p>
      <w:r>
        <w:rPr>
          <w:b/>
        </w:rPr>
        <w:t xml:space="preserve">Quelle: </w:t>
      </w:r>
      <w:r>
        <w:t>https://mcp.opencaselaw.ch/entscheid/vd_findinfo_D_cision___2015___207</w:t>
      </w:r>
    </w:p>
    <w:p>
      <w:r>
        <w:t>FR: VD_FINDINFO Décision / 2015 / 207 du 10 mars 2015</w:t>
      </w:r>
    </w:p>
    <w:p>
      <w:r>
        <w:t>IT: VD_FINDINFO Décision / 2015 / 207 del 10 marzo 2015</w:t>
      </w:r>
    </w:p>
    <w:p>
      <w:pPr>
        <w:pStyle w:val="Heading2"/>
      </w:pPr>
      <w:r>
        <w:t>Regeste</w:t>
      </w:r>
    </w:p>
    <w:p>
      <w:r>
        <w:t>DÉTENTION PROVISOIRE, SOUPÇON, RISQUE DE FUITE, RISQUE DE RÉCIDIVE, RISQUE DE COMMISSION, PROPORTIONNALITÉ | 212 al. 3 CPP (CH), 221 al. 1 let. a CPP (CH), 221 al. 1 let. c CPP (CH), 221 al. 2 CPP (CH), 222 CPP (CH), 228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Selon l’art. 228 CPP, le prévenu peut en principe présenter en tout temps, par écrit ou oralement pour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2.2</w:t>
      </w:r>
    </w:p>
    <w:p>
      <w:r>
        <w:t>Le recourant conteste tout d'abord l'existence de soupçons de culpabilité suffisants.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l'espèce, le recourant soutient que les soupçons à son encontre reposeraient essentiellement sur les déclarations des parties plaignantes; or celles-ci ne seraient pas crédibles et seraient contredites par d'autres éléments au dossier. Il se prévaut essentiellement de l'examen des tampons de douane figurant son passeport (P. 269/2/3), lequel démontrerait que le recourant ne pouvait se trouver en Suisse au moment où les faits se seraient produits selon les plaignants. Comme l'a relevé le Tribunal des mesures de contrainte, cet élément ne convainc pas. En premier lieu, il faut souligner le fait que les actes reprochés au recourant s'étalent sur une période d'une certaine durée. L'existence de nombreux tampons de douane sur la période correspondante établit seulement que le recourant s'est à plusieurs reprises déplacé à cette époque; il demeure cependant possible que celui-ci soit revenu plusieurs fois en Suisse sans être contrôlé lors de son passage de la frontière. Enfin, un certain nombre d'opérations reprochées au recourant, en particulier des transferts d'argent ou l'envoi de SMS de menaces, ont pu être effectués depuis l'étranger. En bref, contrairement à ce que soutient le recourant, l'examen de son passeport ne remet pas en cause la crédibilité des déclarations de plusieurs personnes entendues en cours d'instruction, selon lesquelles le recourant se serait trouvé en Suisse entre février et septembre 2012. A ce titre, il y a lieu de souligner le fait que les trois parties plaignantes, à savoir T.________, M.________ et H.________, n'ont semble-t-il aucun lien entre elles, de sorte que lorsque leurs déclarations se recoupent, elles acquièrent une crédibilité certaine. Le recourant soutient également que d'autres pistes auraient dû être explorées par le Ministère public; il se prévaut en outre de l'ambiguïté de ses relations avec la lésée présumée H.________. Le Tribunal des mesures de contrainte a examiné de façon relativement approfondie les différents indices qui incriminent le recourant et est parvenu à la conclusion qu'il existait des soupçons sérieux dans chacun des cas qui lui sont reprochés (ordonnance attaquée, pp. 4-5). Etant rappelé que le juge de la détention doit se limiter à une appréciation sommaire des éléments au dossier, il apparaît que les griefs soulevés par le recourant prennent essentiellement la forme d'hypothèses et qu'en l'état, celles-ci ne sont pas de nature à affaiblir significativement le poids des éléments aujourd'hui au dossier. Ceux-ci sont concrets et constituent des indices sérieux de culpabilité, comme l'a retenu le Tribunal des contraintes dans son ordonnance, aux considérants de laquelle il est pour le surplus renvoyé.</w:t>
      </w:r>
    </w:p>
    <w:p>
      <w:r>
        <w:rPr>
          <w:b/>
        </w:rPr>
        <w:t>E. 2.3</w:t>
      </w:r>
    </w:p>
    <w:p>
      <w:r>
        <w:t>Le recourant conteste en outre l’existence des risques de fuite, de réitération et de collusion retenus par le Tribunal des mesures de contrainte.</w:t>
      </w:r>
    </w:p>
    <w:p>
      <w:r>
        <w:rPr>
          <w:b/>
        </w:rPr>
        <w:t>E. 2.3.1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En l'espèce, le recourant explique aujourd'hui vouloir retourner vivre auprès de sa compagne et de sa fille au Kosovo et que ce pays extrade ses propres ressortissants, de sorte que s'il devait ne pas se conformer à une éventuelle convocation en justice, les autorités suisses pourraient sans difficulté obtenir son extradition. Les éléments qui précèdent ne suffisent pas pour exclure un risque de fuite, qui demeure au contraire très concret. En effet, comme le recourant l'a lui-même souligné, il voyage énormément dans divers pays d'Europe et rien ne garantit que tel ne sera plus le cas à l'avenir, sa fille ne l'ayant pas retenu auparavant. Il faut en outre rappeler que l'arrestation du recourant n'a été possible qu'à la suite de son extradition depuis l'Albanie. On ne saurait minimiser les inconvénients que présenterait une nouvelle procédure d'extradition, laquelle, indépendamment de ses chances de succès, pourrait se révéler longue et compliquée.</w:t>
      </w:r>
    </w:p>
    <w:p>
      <w:r>
        <w:rPr>
          <w:b/>
        </w:rPr>
        <w:t>E. 2.3.2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La détention peut également être ordonnée s'il y a sérieusement lieu de craindre qu'une personne passe à l'acte après avoir menacé de commettre un crime grave (art. 221 al. 2 CPP). En l'espèce, les antécédents du prévenu, qui a été condamné en 2004 à neuf ans de réclusion et 300 fr. d'amende pour crime manqué de meurtre, menaces et infraction à la loi sur les armes, incitent à la prudence. Les faits reprochés au prévenu revêtent en outre un degré de gravité certain et il y a lieu de tenir compte du fait que les trois lésés présumés n'ont, semble-t-il, pas de lien entre eux, ce qui renforce les craintes pour la sécurité publique. Enfin, l'instruction porte notamment sur des menaces de mort, dont le risque de mise à exécution doit être qualifié de concret compte tenu des antécédents du recourant et du fait que son frère, C.________, co-prévenu, a également déclaré avoir fait l'objet de menaces de mort de la part de celui-ci. Au vu de ce qui précède, les risques de réitération et de passage à l'acte doivent également être retenus.</w:t>
      </w:r>
    </w:p>
    <w:p>
      <w:r>
        <w:rPr>
          <w:b/>
        </w:rPr>
        <w:t>E. 2.3.3</w:t>
      </w:r>
    </w:p>
    <w:p>
      <w:r>
        <w:t>Les risques fondant la détention provisoire étant des motifs alternatifs, la question de l’existence d’un éventuel risque de collusion peut demeurer indécise, dès lors que la détention est justifiée par les risques de fuite et de réitération.</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au vu des actes reprochés au recourant et étant rappelé qu'il existe pour chacun des cas des soupçons sérieux (cf. c. 2.2 supra), la durée de la détention avant jugement subie à ce jour ne s’approche pas encore de la durée de la peine privative de liberté à laquelle il faudrait s’attendre concrètement en cas de condamnation, compte tenu notamment du concours d'actes et de la quotité des peines auxquelles s'exposent les auteurs des infractions en cause.</w:t>
      </w:r>
    </w:p>
    <w:p>
      <w:r>
        <w:rPr>
          <w:b/>
        </w:rPr>
        <w:t>E. 4</w:t>
      </w:r>
    </w:p>
    <w:p>
      <w:r>
        <w:t>Le tribunal compétent ordonne une ou plusieurs mesures moins sévères en lieu et place de la détention si ces mesures permettent d’atteindre le même but que la détention (art. 237 al. 1 CPP). En l'espèce, aucune mesure de substitution n'est à même de prévenir les risques retenus.</w:t>
      </w:r>
    </w:p>
    <w:p>
      <w:r>
        <w:rPr>
          <w:b/>
        </w:rPr>
        <w:t>E. 5</w:t>
      </w:r>
    </w:p>
    <w:p>
      <w:r>
        <w:t>En définitive, le recours doit être rejeté sans autre échange d’écritures (art. 390 al. 2 CPP) et l'ordonnance du 23 février 2015 confirmée. L’indemnité due au défenseur d’office du recourant sera fixée à 720 fr., plus la TVA, par 57 fr. 60, ce qui porte le montant alloué à 777 fr. 60.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par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février 2015 est confirmée. III. L’indemnité due au défenseur d’office de Q.________ est fixée à 777 fr. 60 (sept cent septante-sept francs et soixante centimes). IV. L'émolument d’arrêt, par 990 fr. (neuf cent nonante francs), ainsi que l’indemnité due au défenseur d’office de Q.________, par 777 fr. 60 (sept cent septante-sept francs et soixante centimes), sont mis à la charge de ce dernier. V. Le remboursement à l’Etat de l’indemnité allouée au chiffre III ci-dessus sera exigible pour autant que la situation économique de Q.________ se soit améliorée. VI. Le présent arrêt est exécutoire. Le président :               Le greffier : Du Le présent arrêt, dont la rédaction a été approuvée à huis clos, est notifié, par l'envoi d'une copie complète, à : - M. Jeton Kryeziu, avocat (pour Q.________),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