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188 vom 2. Februar 2015</w:t>
      </w:r>
    </w:p>
    <w:p>
      <w:r>
        <w:t>VD Tribunal cantonal, 2015-02-02, FR</w:t>
      </w:r>
    </w:p>
    <w:p>
      <w:r>
        <w:rPr>
          <w:b/>
        </w:rPr>
        <w:t xml:space="preserve">Quelle: </w:t>
      </w:r>
      <w:r>
        <w:t>https://mcp.opencaselaw.ch/entscheid/vd_findinfo_D_cision___2015___188</w:t>
      </w:r>
    </w:p>
    <w:p>
      <w:r>
        <w:t>FR: VD_FINDINFO Décision / 2015 / 188 du 2 février 2015</w:t>
      </w:r>
    </w:p>
    <w:p>
      <w:r>
        <w:t>IT: VD_FINDINFO Décision / 2015 / 188 del 2 febbraio 2015</w:t>
      </w:r>
    </w:p>
    <w:p>
      <w:pPr>
        <w:pStyle w:val="Heading2"/>
      </w:pPr>
      <w:r>
        <w:t>Regeste</w:t>
      </w:r>
    </w:p>
    <w:p>
      <w:r>
        <w:t>NON-LIEU, DIFFAMATION, ABUS D'AUTORITÉ | 310 CPP (CH)</w:t>
      </w:r>
    </w:p>
    <w:p>
      <w:pPr>
        <w:pStyle w:val="Heading2"/>
      </w:pPr>
      <w:r>
        <w:t>Erwägungen</w:t>
      </w:r>
    </w:p>
    <w:p>
      <w:r>
        <w:rPr>
          <w:b/>
        </w:rPr>
        <w:t>E. 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en temps utile auprès de l’autorité compétente, par le plaignant qui a qualité pour recourir (cf.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3.1</w:t>
      </w:r>
    </w:p>
    <w:p>
      <w:r>
        <w:t>Le recourant soutient que les allégations rapportées dans sa plainte porteraient atteinte à son honneur.</w:t>
      </w:r>
    </w:p>
    <w:p>
      <w:r>
        <w:rPr>
          <w:b/>
        </w:rPr>
        <w:t>E. 3.2</w:t>
      </w:r>
    </w:p>
    <w:p>
      <w:r>
        <w:t>L'art. 173 ch. 1 CP (Code pénal suisse, RS 311.0)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c.2.1.1 ; ATF 132 IV 112 c. 2.1, SJ 2007 I, p. 78; ATF 128 IV 53 c. 1a).</w:t>
      </w:r>
    </w:p>
    <w:p>
      <w:r>
        <w:rPr>
          <w:b/>
        </w:rPr>
        <w:t>E. 3.3</w:t>
      </w:r>
    </w:p>
    <w:p>
      <w:r>
        <w:t>En l’espèce, on peut comprendre que le recourant se soit senti blessé dans son amour-propre par les propos litigieux. Ceux-ci, cependant, ne le font pas apparaître comme une personne méprisable. Tout au plus peuvent-ils susciter, chez ceux qui les lisent, une forme de compassion. Il convient en outre de tenir compte du fait que ces propos ont fait l’objet d’une diffusion limitée, puisque, selon le recourant, ils figurent dans un plan d’exécution d’une mesure (cf. art. 90 al. 2 CP ; art. 24 LEP [Loi sur l’exécution des condamnations pénales du 4 juillet 2006 ; RSV 340.11]), document destiné principalement à l’Office d’exécution des peines. Or, une atteinte à l'honneur, dans ce contexte, ne doit être admise que restrictivement (Favre/Pellet/Stoudmann, Code pénal annoté, Lausanne 2007, n. 1.14 ad art. 173 CP). Au surplus, les auteurs des assertions incriminée, en portant une appréciation sur la situation du recourant détenu, n’ont fait que remplir un devoir, ne sont pas allés au-delà de ce qu’exigeait l’accomplissement de leur mission et n’ont pas employé des termes inutilement vexants.</w:t>
      </w:r>
    </w:p>
    <w:p>
      <w:r>
        <w:rPr>
          <w:b/>
        </w:rPr>
        <w:t>E. 3.4</w:t>
      </w:r>
    </w:p>
    <w:p>
      <w:r>
        <w:t>Le recourant se plaint également d’être victime d’abus d’autorité (art. 312 CP). Aux termes l’art. 312 CP, se rendent coupables d'une telle infraction les membres d'une autorité et les fonctionnaires qui, dans le dessein de se procurer ou de procurer à un tiers un avantage illicite, ou dans le dessein de nuire à autrui, auront abusé des pouvoirs de leur charge. Cette disposition protège, d’une part, l'intérêt de l'Etat à disposer de fonctionnaires loyaux qui utilisent les pouvoirs qui leur ont été confiés en ayant conscience de leurs devoirs et, d’autre part, celui des citoyens à ne pas être exposés à un « déploiement de puissance étatique incontrôlé et arbitraire » (Dupuis et al., Petit Commentaire du Code pénal, Bâle  2012, n. 3 ad art. 312 CP). Il y a abus lorsque l’auteur use d’une façon non permise de ses pouvoirs officiels, c’est-à-dire qu’en vertu de sa charge, il en dispose – avec effets obligatoires – en dépassant les limites de ce que ses pouvoirs lui permettent (ATF 127 IV c. 1b, JT 2003 IV 117). En l’espèce, rien dans les faits exposés par le recourant ne permet de suspecter un abus de pouvoir au sens défini ci-dessus. Quoi qu’en dise le recourant, on ne voit pas en quoi les personnes dénoncées auraient cherché à lui nuire de quelque manière que ce soit. Le fait qu’elles aient tenu des propos qui ne lui plaisent pas et qu’il ne partage pas leur appréciation sur sa situation ne suffit pas à suggérer l’existence d’une quelconque intention délictueuse.</w:t>
      </w:r>
    </w:p>
    <w:p>
      <w:r>
        <w:rPr>
          <w:b/>
        </w:rPr>
        <w:t>E. 3.5</w:t>
      </w:r>
    </w:p>
    <w:p>
      <w:r>
        <w:t>Les éléments constitutifs des infractions dénoncées n’étant à l’évidence pas réalisés, le procureur pouvait à bon droit rendre une ordonnance de non-entrée en matière.</w:t>
      </w:r>
    </w:p>
    <w:p>
      <w:r>
        <w:rPr>
          <w:b/>
        </w:rPr>
        <w:t>E. 4</w:t>
      </w:r>
    </w:p>
    <w:p>
      <w:r>
        <w:t>Il résulte de ce qui précède que le recours, manifestement mal fondé, doit être rejeté sans autres échanges d’écritures (art. 390 al. 2 CPP) et l’ordonnance attaquée confirmée. Les frais de la procédure de recours, constitués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9 décembre 2014 est confirmée. III. Les frais d’arrêt, par 550 fr. (cinq cent cinquante francs), sont mis à la charge de F.________. IV. Le présent arrêt est exécutoire. Le président :               Le greffier : Du Le présent arrêt, dont la rédaction a été approuvée à huis clos, est notifié, par l'envoi d'une copie complète, à : - M.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