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185 vom 12. Februar 2015</w:t>
      </w:r>
    </w:p>
    <w:p>
      <w:r>
        <w:t>VD Tribunal cantonal, 2015-02-12, FR</w:t>
      </w:r>
    </w:p>
    <w:p>
      <w:r>
        <w:rPr>
          <w:b/>
        </w:rPr>
        <w:t xml:space="preserve">Quelle: </w:t>
      </w:r>
      <w:r>
        <w:t>https://mcp.opencaselaw.ch/entscheid/vd_findinfo_D_cision___2015___185</w:t>
      </w:r>
    </w:p>
    <w:p>
      <w:r>
        <w:t>FR: VD_FINDINFO Décision / 2015 / 185 du 12 février 2015</w:t>
      </w:r>
    </w:p>
    <w:p>
      <w:r>
        <w:t>IT: VD_FINDINFO Décision / 2015 / 185 del 12 febbraio 2015</w:t>
      </w:r>
    </w:p>
    <w:p>
      <w:pPr>
        <w:pStyle w:val="Heading2"/>
      </w:pPr>
      <w:r>
        <w:t>Regeste</w:t>
      </w:r>
    </w:p>
    <w:p>
      <w:r>
        <w:t>RÉCUSATION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P.________ à l’encontre du Procureur L.________ (art. 13 LVCPP [loi d’introduction du code de procédure pénale suisse ; RSV 312.01]).</w:t>
      </w:r>
    </w:p>
    <w:p>
      <w:r>
        <w:rPr>
          <w:b/>
        </w:rPr>
        <w:t>E. 2.1</w:t>
      </w:r>
    </w:p>
    <w:p>
      <w:r>
        <w:t>Le requérant reproche au Procureur L.________ d’avoir « mené l’instruction et la poursuite pénale » contre les membres de l’association « [...] », dont le requérant a fait partie.</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précité c. 2.1 ; TF 1B_365/2009 du 22 mars 2010 c. 3.3) ou un refus d'administrer une preuve (ATF 116 Ia 135; Verniory, in: Kuhn/Jeanneret, Commentaire romand, Code de procédure pénale suisse, Bâle 2011, n. 35 ad art. 56 CPP).</w:t>
      </w:r>
    </w:p>
    <w:p>
      <w:r>
        <w:rPr>
          <w:b/>
        </w:rPr>
        <w:t>E. 2.3</w:t>
      </w:r>
    </w:p>
    <w:p>
      <w:r>
        <w:t>En l'espèce, on ne saurait reprocher au procureur une activité partiale pour avoir exécuté son travail dans le cadre d’autres affaires, respectivement pour avoir été en charge, dans le canton de Vaud, de l’instruction des affaires relatives à l’association [...], dont le requérant a fait partie. On relèvera d’ailleurs que le procureur n’a pas rendu de décision défavorable au requérant dans le cadre d’une autre procédure et que, quand bien même il l’aurait fait, celle-ci ne constituerait pas un motif de récusation. Pour le surplus, le requérant n’invoque aucun élément objectif au dossier propre à faire naître un doute sur l’impartialité du procureur. Ainsi, en l'absence de circonstances objectives qui feraient redouter une activité partiale du Procureur L.________, aucun motif de récusation au sens de l'art. 56 CPP n'est réalisé en l'espèce.</w:t>
      </w:r>
    </w:p>
    <w:p>
      <w:r>
        <w:rPr>
          <w:b/>
        </w:rPr>
        <w:t>E. 3</w:t>
      </w:r>
    </w:p>
    <w:p>
      <w:r>
        <w:t>Il résulte de ce qui précède que la demande de récusation présentée le 30 janvier 2015 par P.________ doit être rejetée. Les frais de la procédure, constitués en l’espèce de l’émolument de décision, par 550 fr. (art. 20 al. 1 TFIP [tarif des frais de procédure et indemnités en matière pénale du 28 septembre 2010; RSV 312.03.1]), et des frais imputables à la défense d’office (art. 422 al. 1 et 2 let. a CPP), fixés à 90 fr., plus la TVA, par</w:t>
      </w:r>
    </w:p>
    <w:p>
      <w:r>
        <w:rPr>
          <w:b/>
        </w:rPr>
        <w:t>E. 7</w:t>
      </w:r>
    </w:p>
    <w:p>
      <w:r>
        <w:t>fr. 20, soit un total de 97 fr. 20, seront mis à la charge du requérant, qui succombe (art. 59 al. 4 CPP). Le remboursement à l'Etat de l'indemnité allouée au défenseur d'office de P.________ ne sera toutefois exigible que pour autant que la situation économique de ce dernier se soit améliorée (art. 135 al. 4 CPP). Par ces motifs, la Chambre des recours pénale prononce : I. La demande de récusation présentée le 30 janvier 2015 par P.________ à l’encontre du Procureur L.________ est rejetée. II. L’indemnité allouée au défenseur d’office de P.________ est fixée à 97 fr. 20 (nonante-sept francs et vingt centimes). III. Les frais d’arrêt, par 550 fr. (cinq cent cinquante francs), ainsi que l’indemnité due au défenseur d’office de P.________, par 97 fr. 20 (nonante-sept francs et vingt centimes), sont mis à la charge de ce dernier. IV. Le remboursement à l’Etat de l’indemnité allouée au chiffre II ci-dessus sera exigible pour autant que la situation économique de P.________ se soit améliorée. V. La présente décision est exécutoire. Le président :               La greffière : Du La présente décision, dont la rédaction a été approuvée à huis clos, est notifiée, par l'envoi d'une copie complète, à : - M. Jean Cavalli, avocat (pour P.________), - Ministère public central; et communiquée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