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182 vom 18. Januar 2015</w:t>
      </w:r>
    </w:p>
    <w:p>
      <w:r>
        <w:t>VD Tribunal cantonal, 2015-01-18, FR</w:t>
      </w:r>
    </w:p>
    <w:p>
      <w:r>
        <w:rPr>
          <w:b/>
        </w:rPr>
        <w:t xml:space="preserve">Quelle: </w:t>
      </w:r>
      <w:r>
        <w:t>https://mcp.opencaselaw.ch/entscheid/vd_findinfo_D_cision___2015___182</w:t>
      </w:r>
    </w:p>
    <w:p>
      <w:r>
        <w:t>FR: VD_FINDINFO Décision / 2015 / 182 du 18 janvier 2015</w:t>
      </w:r>
    </w:p>
    <w:p>
      <w:r>
        <w:t>IT: VD_FINDINFO Décision / 2015 / 182 del 18 gennaio 2015</w:t>
      </w:r>
    </w:p>
    <w:p>
      <w:pPr>
        <w:pStyle w:val="Heading2"/>
      </w:pPr>
      <w:r>
        <w:t>Regeste</w:t>
      </w:r>
    </w:p>
    <w:p>
      <w:r>
        <w:t>DÉTENTION POUR DES MOTIFS DE SÛRETÉ, RISQUE DE FUITE, RISQUE DE RÉCIDIVE | 221 al. 1 let. a CPP (CH), 221 al. 1 let. c CPP (CH), 233 CPP (CH)</w:t>
      </w:r>
    </w:p>
    <w:p>
      <w:pPr>
        <w:pStyle w:val="Heading2"/>
      </w:pPr>
      <w:r>
        <w:t>Erwägungen</w:t>
      </w:r>
    </w:p>
    <w:p>
      <w:r>
        <w:rPr>
          <w:b/>
        </w:rPr>
        <w:t>E. 1</w:t>
      </w:r>
    </w:p>
    <w:p>
      <w:r>
        <w:t>Aux termes de l'art. 233 CPP, la direction de la procédure de la juridiction d'appel statue dans les cinq jours sur les demandes de libération;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Bâle 2013, n. 4 ad. art. 233). En l’occurrence, déposée à la suite d’une déclaration d’appel, la demande de mise en liberté présentée par H.________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En l’espèce, le Tribunal criminel ayant condamné le prévenu pour les faits qui lui sont reprochés, il existe des soupçons suffisants selon l’art. 221 CPP, ce qui n’est au demeurant pas contesté.</w:t>
      </w:r>
    </w:p>
    <w:p>
      <w:r>
        <w:rPr>
          <w:b/>
        </w:rPr>
        <w:t>E. 2.2</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Le risque de réitération peut être également admis dans des cas particuliers alors qu'il n'existe qu'un antécédent, voire aucun dans les cas les plus graves. La prévention du risque de récidive doit permettre de faire prévaloir l'intérêt à la sécurité publique sur la liberté personnelle du prévenu (ATF 137 IV 13 c. 4.5).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En l’espèce, le requérant n’a certes pas d’antécédents; toutefois, il a fait l’objet, en 2011, d’une procédure pénale pour menaces qui s’est soldée par une transaction portant notamment sur le retrait de la plainte pénale. Par ailleurs, il faut tenir compte de la gravité des faits faisant l’objet de la présente procédure. Pour un motif futile, H.________ s’en est pris violemment à C.________ en lui assénant sept coups de couteau, dont certains l’ont atteint près des organes vitaux. De surcroît, le dernier coup a été donné alors que la victime était à terre. Le prévenu a en outre menacé avec son arme les personnes qui tentaient de s’interposer pour l’empêcher de s’en prendre à nouveau à la victime déjà blessée. Sa réaction était sans mesure aucune avec le motif tout à fait banal à l’origine de l’altercation entre les deux hommes. Son comportement témoigne ainsi d’une extrême violence qui est susceptible de se reproduire s’il devait être confronté à une même situation. Enfin, le fait de se munir d’un couteau dans un but dissuasif est révélateur de l’état d’esprit du requérant et du fait qu’il peut représenter un danger pour la sécurité d’autrui. Dans ces conditions, il faut retenir que le risque de récidive est patent. Aucune mesure de substitution (art. 237 CPP) ne présente en l'état de garanties suffisantes pour pallier ce risque.</w:t>
      </w:r>
    </w:p>
    <w:p>
      <w:r>
        <w:rPr>
          <w:b/>
        </w:rPr>
        <w:t>E. 2.3</w:t>
      </w:r>
    </w:p>
    <w:p>
      <w:r>
        <w:t>Le risque de fuite est réputé réalisé lorsque les circonstances concrètes font apparaître que le prévenu tentera vraisemblablement de se soustraire à la poursuite judiciaire ou à l'exécution d'une peine (ATF 106 Ia 404, rés. JT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 3.1). La gravité de l’infraction permet souvent de présumer un danger de fuite en raison de l’importance de la peine dont le prévenu est menacé (ATF 125 I 60). En l’espèce, H.________ a été condamné à une lourde privation de liberté. Par ailleurs, le Ministère public a conclu à une peine privative de liberté ferme de 6 ans. Au vu de la quotité de ces peines, il faut considérer qu’il existe un risque concret que le requérant, une fois remis en liberté, tente de se soustraire à sa sanction en prenant la fuite ou en vivant dans la clandestinité, étant au surplus rappelé que celui-ci, après avoir commis les présents faits, s’était déjà enfui. Enfin, d’origine algérienne, il pourrait être amené à se réfugier dans son pays d’origine où il a encore de la famille. Il faut par conséquent retenir un risque de fuite.</w:t>
      </w:r>
    </w:p>
    <w:p>
      <w:r>
        <w:rPr>
          <w:b/>
        </w:rPr>
        <w:t>E. 2.4</w:t>
      </w:r>
    </w:p>
    <w:p>
      <w:r>
        <w:t>Le juge peut maintenir la détention préventive aussi longtemps qu'elle n'est pas très proche de la durée de la peine privative de liberté à laquelle il faut s'attendre concrètement en cas de condamnation (ATF 133 I 168 c. 4.1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et les arrêts cités). Lorsque le détenu a déjà été jugé en première instance, ce prononcé constitue un indice important quant à la peine susceptible de devoir être finalement exécutée (TF 1B_43/2013 du 1 er mars 2013 c. 4.1 et les références citées). Selon la jurisprudence, le juge de la détention – afin d'éviter qu'il n'empiète sur les compétences du juge du fond – ne tient pas compte de la possibilité éventuelle de l'octroi, par l'autorité de jugement, d'un sursis (ATF 133 I 270 c. 3.4.3) ou d'une libération conditionnelle (ATF 124 I 208 c. 6). En l’espèce, H.________ a été condamné à une peine privative de liberté ferme de 4 ans pour tentative de meurtre, tentative de lésions corporelles simples qualifiées et de menaces. A l’audience de première instance, il avait subi quelque dix mois de détention provisoire. Au vu de gravité des faits dont il doit répondre, la durée de sa détention avant jugement n’est par conséquent pas proche de la sanction qu’il encourt en cas de condamnation, étant au surplus rappelé que le Ministère public a conclu à une privation de liberté ferme de 6 ans.</w:t>
      </w:r>
    </w:p>
    <w:p>
      <w:r>
        <w:rPr>
          <w:b/>
        </w:rPr>
        <w:t>E. 2.5</w:t>
      </w:r>
    </w:p>
    <w:p>
      <w:r>
        <w:t>Sur le vu de ce qui précède, le maintien en détention d’H.________ se justifie dans l’attente de l’audience d’appel, qui sera d’ailleurs fixée à brève échéance.</w:t>
      </w:r>
    </w:p>
    <w:p>
      <w:r>
        <w:rPr>
          <w:b/>
        </w:rPr>
        <w:t>E. 3</w:t>
      </w:r>
    </w:p>
    <w:p>
      <w:r>
        <w:t>En définitive, la requête de mise en liberté déposée par H.________ doit être rejetée. Il sera statué sur les frais du présent prononcé à l'issue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