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181 vom 11. Februar 2015</w:t>
      </w:r>
    </w:p>
    <w:p>
      <w:r>
        <w:t>VD Tribunal cantonal, 2015-02-11, FR</w:t>
      </w:r>
    </w:p>
    <w:p>
      <w:r>
        <w:rPr>
          <w:b/>
        </w:rPr>
        <w:t xml:space="preserve">Quelle: </w:t>
      </w:r>
      <w:r>
        <w:t>https://mcp.opencaselaw.ch/entscheid/vd_findinfo_D_cision___2015___181</w:t>
      </w:r>
    </w:p>
    <w:p>
      <w:r>
        <w:t>FR: VD_FINDINFO Décision / 2015 / 181 du 11 février 2015</w:t>
      </w:r>
    </w:p>
    <w:p>
      <w:r>
        <w:t>IT: VD_FINDINFO Décision / 2015 / 181 del 11 febbraio 2015</w:t>
      </w:r>
    </w:p>
    <w:p>
      <w:pPr>
        <w:pStyle w:val="Heading2"/>
      </w:pPr>
      <w:r>
        <w:t>Regeste</w:t>
      </w:r>
    </w:p>
    <w:p>
      <w:r>
        <w:t>RETRAIT{VOIE DE DROIT} | 355 al. 2 CPP (CH)</w:t>
      </w:r>
    </w:p>
    <w:p>
      <w:pPr>
        <w:pStyle w:val="Heading2"/>
      </w:pPr>
      <w:r>
        <w:t>Erwägungen</w:t>
      </w:r>
    </w:p>
    <w:p>
      <w:r>
        <w:rPr>
          <w:b/>
        </w:rPr>
        <w:t>E. 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 e éd., Bâle 2014, n. 5 ad art. 355 CPP; Schwarzenegger, in : Donatsch/Hansjakob/Lieber [éd.], Kommentar zur Schweizerischen Strafprozess­ordnung, 2010, n. 2 ad art. 355 CPP; CREP 26 janvier 2015/59 ; CREP 25 novembre 2014/847 ; CREP 29 août 2014/625).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une partie qui a qualité pour recourir (art. 382 al. 1 CPP) et dans les formes prescrites (art. 385 al. 1 CPP), de sorte qu’il est recevable.</w:t>
      </w:r>
    </w:p>
    <w:p>
      <w:r>
        <w:rPr>
          <w:b/>
        </w:rPr>
        <w:t>E. 2</w:t>
      </w:r>
    </w:p>
    <w:p>
      <w:r>
        <w:t>Le recourant invoque une violation de l’art. 355 al. 2 CPP.</w:t>
      </w:r>
    </w:p>
    <w:p>
      <w:r>
        <w:rPr>
          <w:b/>
        </w:rPr>
        <w:t>E. 2.1</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 2.4).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6 par. 1 CEDH [Convention de sauvegarde des droits de l’homme et des libertés fondamentales du 4 novembre 1950 ; RS 0.101]). Au vu de l'importance fondamentale du droit d'opposition au regard de ces garanties, un retrait de l'opposition par acte concluant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(ATF 140 IV 82 c. 2.3 et 2.5).</w:t>
      </w:r>
    </w:p>
    <w:p>
      <w:r>
        <w:rPr>
          <w:b/>
        </w:rPr>
        <w:t>E. 2.2</w:t>
      </w:r>
    </w:p>
    <w:p>
      <w:r>
        <w:t>En l'espèce, l’empêchement est survenu alors que le recourant se trouvait en Italie, dans la province d’Udine, à quelque 700 km de Lausanne. Le certificat médical établi sur place le 18 octobre 2014 prévoyait six jours de repos. Pour se présenter à temps à l’audience du 23 octobre 2014, qui tombait le dernier jour de la période de repos prescrite par le médecin, le recourant aurait dû consacrer une partie de cette période à son voyage de retour en Suisse qui, vu la distance, aurait pris quasiment une journée. Or, il ne pouvait entreprendre un tel voyage en raison de sa maladie et du repos et des soins ordonnés par le médecin. Le fait que le recourant ait eu une maladie bénigne n’y change rien. Selon le médecin consulté, cette rhinopharyngite – appelée communément rhume – présentait un caractère aigu et fébrile. En outre, le recourant est âgé de 67 ans. Le Ministère public ne pouvait donc pas, sur le vu du certificat médical produit, retenir que le recourant avait fait défaut sans excuse valable. Enfin, si le certificat médical n’a pas pu être produit, pour des raisons pratiques, avant la date de l’audience, il l’a été rapidement, dans le délai imparti par le procureur. Dans ces conditions, il n'était pas possible de considérer que le recourant, par sa seule absence, s'était désintéressé de la procédure pénale dirigée contre lui et de faire application de l'art. 355 al. 2 CPP. L'empêchement invoqué, certificat médical à l'appui, ne permet pas de considérer que la démarche du recourant serait constitutive d'abus de droit. En tout état, compte tenu de l’ensemble des circonstances et de l'application restrictive de l'art. 355 al. 2 CPP imposée par la jurisprudence, un report de l'audience était nécessaire avant de pouvoir juger que le recourant s'était désintéressé de la procédure (cf. TF 6B_328/2014 du 20 janvier 2015 c. 2.1 ).</w:t>
      </w:r>
    </w:p>
    <w:p>
      <w:r>
        <w:rPr>
          <w:b/>
        </w:rPr>
        <w:t>E. 3</w:t>
      </w:r>
    </w:p>
    <w:p>
      <w:r>
        <w:t>Il résulte de ce qui précède que le recours doit être admis et l’ordonnance du 5 janvier 2015 annulée. Le dossier de la cause sera renvoyé au Ministère public de l’arrondissement de Lausanne pour qu’il fixe une nouvelle audience. Les frais de la procédure de recours, constitués de l'émolument d'arrêt (art. 422 al. 1 CPP), par 660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de l’intimé S.________, qui, ayant conclu au rejet du recours, succombe (art. 428 al. 1 CPP). Par ces motifs, la Chambre des recours pénale prononce : I. Le recours est admis. II. L’ordonnance du 5 janvier 2015 est annulée. III. Le dossier de la cause est renvoyé au Ministère public de l’arrondissement de Lausanne pour qu’il procède dans le sens des considérants. IV. L’indemnité allouée au défenseur d’office de W.________ est fixée à 583 fr. 20 (cinq cent huitante-trois francs et vingt centimes). V. Les frais d’arrêt, par 660 fr. (six cent soixante francs), ainsi que l’indemnité due au défenseur d’office de W.________, par 583 fr. 20 (cinq cent huitante-trois francs et vingt centimes), sont mis à la charge de S.________. VI. Le présent arrêt est exécutoire. Le président :               Le greffier : Du Le présent arrêt, dont la rédaction a été approuvée à huis clos, est notifié, par l'envoi d'une copie complète, à : - Mme Vanessa Egli, avocate (pour W.________), - M. Gilles-Antoine Hofstetter, avocat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