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176 vom 17. Februar 2015</w:t>
      </w:r>
    </w:p>
    <w:p>
      <w:r>
        <w:t>VD Tribunal cantonal, 2015-02-17, FR</w:t>
      </w:r>
    </w:p>
    <w:p>
      <w:r>
        <w:rPr>
          <w:b/>
        </w:rPr>
        <w:t xml:space="preserve">Quelle: </w:t>
      </w:r>
      <w:r>
        <w:t>https://mcp.opencaselaw.ch/entscheid/vd_findinfo_D_cision___2015___176</w:t>
      </w:r>
    </w:p>
    <w:p>
      <w:r>
        <w:t>FR: VD_FINDINFO Décision / 2015 / 176 du 17 février 2015</w:t>
      </w:r>
    </w:p>
    <w:p>
      <w:r>
        <w:t>IT: VD_FINDINFO Décision / 2015 / 176 del 17 febbraio 2015</w:t>
      </w:r>
    </w:p>
    <w:p>
      <w:pPr>
        <w:pStyle w:val="Heading2"/>
      </w:pPr>
      <w:r>
        <w:t>Regeste</w:t>
      </w:r>
    </w:p>
    <w:p>
      <w:r>
        <w:t>PROTECTION DES DONNÉES, NON-LIEU |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2.1</w:t>
      </w:r>
    </w:p>
    <w:p>
      <w:r>
        <w:t>Comme dans la procédure clôturée par l’arrêt du 3 juin 2014, le recourant soutient que les actes commis à son encontre par les responsables de l’ [...] auraient été perpétrés intentionnellement et que l’action pénale ne serait pas prescrite.</w:t>
      </w:r>
    </w:p>
    <w:p>
      <w:r>
        <w:rPr>
          <w:b/>
        </w:rPr>
        <w:t>E. 2.2</w:t>
      </w:r>
    </w:p>
    <w:p>
      <w:r>
        <w:t>Aux termes de l'art. 310 al. 1 let. a CPP, une ordonnance de non-entrée en matière est rendue immédiatement – c'est-à-dire sans qu'une instruction soit ouverte –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art. 306 s. CPP), que les éléments constitutifs d'une infraction ou les conditions d'ouverture de l'action pénale ne sont manifestement pas réunis (TF 1B_709/2012 du 21 février 2013 c. 3.1; TF 1B_67/2012 du 29 mai 2012 c. 2.2).</w:t>
      </w:r>
    </w:p>
    <w:p>
      <w:r>
        <w:rPr>
          <w:b/>
        </w:rPr>
        <w:t>E. 2.3</w:t>
      </w:r>
    </w:p>
    <w:p>
      <w:r>
        <w:t>Les dispositions entrant en ligne de compte dans la présente cause se rapportent à la protection des données. Il s’agit en particulier des art. 34 et 35 LPD, 41 LPrD, 16 al. 2 LArch et 320 CP (Code pénal suisse du 21 décembre 1937; RS 311.1), qui répriment des actes commis intentionnellement. Ainsi, la simple négligence ne suffit pas. Agit intentionnellement quiconque commet un crime ou un délit avec conscience et volonté. L'auteur agit déjà intentionnellement lorsqu'il tient pour possible la réalisation de l'infraction et l'accepte au cas où celle-ci se produirait (art. 12 al. 1 CP). La doctrine et la jurisprudence distinguent le dessein (ou dol direct de premier degré), le dol simple (ou dol direct de deuxième degré) et le dol éventuel; ces trois formes correspondent à un comportement intentionnel au sens de l’art. 12 al. 2 CP (Dupuis/Geller/Monnier/Moreillon/Piguet/Bettex/Stoll [éd.], Petit commentaire CP,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alii [éd.], op. cit., n. 14 ad art 12 CP). Enfin, le dol éventuel, qui correspond à l’hypothèse visée à l’art 12 al. 2, 2 e phrase CP implique l’indifférence de l’auteur quant à la réalisation de l’infraction, de telle sorte qu’il doit dans son for intérieur approuver celle-ci ou y consentir; l’auteur envisage le résultat dommageable et s’en accommode, voire l’accepte comme tel (Dupuis et alii [éd.], op. cit., n. 15 ad art. 12 CP). Agit par négligence quiconque, par une imprévoyance coupable, commet un crime ou un délit sans se rendre compte des conséquences de son acte ou sans en tenir compte (art. 12 al. 3, 1 re phrase CP).</w:t>
      </w:r>
    </w:p>
    <w:p>
      <w:r>
        <w:rPr>
          <w:b/>
        </w:rPr>
        <w:t>E. 2.4</w:t>
      </w:r>
    </w:p>
    <w:p>
      <w:r>
        <w:t>En l’espèce, et à l’instar des motifs de l’arrêt rendu le 3 juin 2014, il doit être retenu que les données concernées figurent dans un travail de mémoire; elles ont au préalable fait l’objet de mesures d’anonymisation. Les responsables académiques visés par les plaintes ont manifestement dû considérer, à l’instar de l’auteur du mémoire de diplôme incriminé et de sa supérieure hiérarchique directe, que ces mesures suffisaient à exclure une identification de la personne concernée. Il s’agit donc tout au plus d’une négligence, de sorte qu’on ne peut qu’exclure toute intention dolosive de leur part. Par conséquent, l'élément subjectif nécessaire à la réalisation des infractions précitées n'est manifestement pas réalisé en ce qui concerne les responsables de l’ [...], pas plus qu’il ne l’était s’agissant de W.________ et de J.________. Ce qui précède rend superflu tout examen de la question de la prescription. L’ordonnance de non-entrée en matière rendue le 11 juillet 2014 est ainsi bien fondée.</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 seront mis à la charge du recourant qui succombe (art. 428 al. 1 CPP). Le montant de 440 fr. déjà versé par le recourant à titre de sûretés (art. 383 al. 1 CPP) sera imputé sur les frais mis à sa charge (art. 7 TFIP). Par ces motifs, la Chambre des recours pénale prononce : I. Le recours est rejeté. II. L’ordonnance du 11 juillet 2014 est confirmée. III. Les frais du présent arrêt, par 660 fr. (six cent soixante francs), sont mis à la charge de L.________. IV. Le montant de 440 fr. (quatre cent quarante francs) déjà versé par le recourant à titre de sûretés est imputé sur les frais mis à sa charge au chiffre III ci-dessus. V. Le présent arrêt est exécutoire. Le président :               Le greffier : Du Le présent arrêt, dont la rédaction a été approuvée à huis clos, est notifié, par l'envoi d'une copie complète, à : - M. L.________, - Ministère public central, et communiqué à : - M. le Procureur de l’arrondissement de La Côte, par l’envoi de photocopies,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