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175 vom 26. Januar 2015</w:t>
      </w:r>
    </w:p>
    <w:p>
      <w:r>
        <w:t>VD Tribunal cantonal, 2015-01-26, FR</w:t>
      </w:r>
    </w:p>
    <w:p>
      <w:r>
        <w:rPr>
          <w:b/>
        </w:rPr>
        <w:t xml:space="preserve">Quelle: </w:t>
      </w:r>
      <w:r>
        <w:t>https://mcp.opencaselaw.ch/entscheid/vd_findinfo_D_cision___2015___175</w:t>
      </w:r>
    </w:p>
    <w:p>
      <w:r>
        <w:t>FR: VD_FINDINFO Décision / 2015 / 175 du 26 janvier 2015</w:t>
      </w:r>
    </w:p>
    <w:p>
      <w:r>
        <w:t>IT: VD_FINDINFO Décision / 2015 / 175 del 26 gennaio 2015</w:t>
      </w:r>
    </w:p>
    <w:p>
      <w:pPr>
        <w:pStyle w:val="Heading2"/>
      </w:pPr>
      <w:r>
        <w:t>Regeste</w:t>
      </w:r>
    </w:p>
    <w:p>
      <w:r>
        <w:t>DÉFENSE D'OFFICE, REJET DE LA DEMANDE | 130 let. b CPP (CH), 132 al. 1 let. b CPP (CH), 132 al. 2 CPP (CH), 132 al. 3 CPP (CH)</w:t>
      </w:r>
    </w:p>
    <w:p>
      <w:pPr>
        <w:pStyle w:val="Heading2"/>
      </w:pPr>
      <w:r>
        <w:t>Erwägungen</w:t>
      </w:r>
    </w:p>
    <w:p>
      <w:r>
        <w:rPr>
          <w:b/>
        </w:rPr>
        <w:t>E. 1</w:t>
      </w:r>
    </w:p>
    <w:p>
      <w:r>
        <w:t>CPP), et dans les formes prescrites (art. 385 al. 1 CPP), le recours est recevable (CREP 27 janvier 2015/47 c. 1).</w:t>
      </w:r>
    </w:p>
    <w:p>
      <w:r>
        <w:rPr>
          <w:b/>
        </w:rPr>
        <w:t>E. 2.1</w:t>
      </w:r>
    </w:p>
    <w:p>
      <w:r>
        <w:t>Le recourant fait valoir que le cas de défense obligatoire au sens de l’art. 130 let. b CPP serait réalisé car l’infraction de menace retenue à son encontre est passible d’une peine privative de liberté allant jusqu’à trois ans selon l’art. 180 CP. Il soutient également que la cause serait compliquée en fait et en droit, de sorte que sa défense par un avocat serait indispensable.</w:t>
      </w:r>
    </w:p>
    <w:p>
      <w:r>
        <w:rPr>
          <w:b/>
        </w:rPr>
        <w:t>E. 2.2.1</w:t>
      </w:r>
    </w:p>
    <w:p>
      <w:r>
        <w:t>Aux termes de l’art. 180 al. 1 CP, celui qui, par une menace grave, aura alarmé ou effrayé une personne sera, sur plainte, puni d’une peine privative de liberté de trois ans au plus ou d’une peine pécuniaire.</w:t>
      </w:r>
    </w:p>
    <w:p>
      <w:r>
        <w:rPr>
          <w:b/>
        </w:rPr>
        <w:t>E. 2.2.2</w:t>
      </w:r>
    </w:p>
    <w:p>
      <w:r>
        <w:t>Selon l’art. 130 let. b CPP, le prévenu doit avoir un défenseur lorsqu’il encourt une peine privative de liberté de plus d’un an ou une mesure entraînant une privation de liberté. La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Niggli/Heer/Wiprächtiger [éd.], Basler Kommentar, Schweizerische Strafprozessordnung, Jugendstrafprozessordnung, Bâle 2011, n. 18 ad art. 130 CPP ; Harari/Aliberti, in: Kuhn/Jeanneret (éd.), Commentaire romand, Code de procédure pénale suisse, Bâle 2011, n. 23 ad art. 130 CPP et les références citées ; CREP 20 novembre 2013/752, CREP 20 septembre 2013/645).</w:t>
      </w:r>
    </w:p>
    <w:p>
      <w:r>
        <w:rPr>
          <w:b/>
        </w:rPr>
        <w:t>E. 2.2.3</w:t>
      </w:r>
    </w:p>
    <w:p>
      <w:r>
        <w:t>La défense d’office aux fins de protéger les intérêts du prévenu se justifie notamment lorsque l’affaire n’est pas de peu de gravité et qu’elle présente, sur le plan des faits ou du droit, des difficultés que la prévenue seule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w:t>
      </w:r>
    </w:p>
    <w:p>
      <w:r>
        <w:rPr>
          <w:b/>
        </w:rPr>
        <w:t>E. 2.3</w:t>
      </w:r>
    </w:p>
    <w:p>
      <w:r>
        <w:t>En l’espèce, A.W.________ est notamment prévenu de menaces pour avoir déclaré par téléphone à U.________: « on va se voir bientôt et tu vas ramasser ». Au vu de ces faits et bien que le recourant soit également prévenu de voies de fait et d’injure, c’est bien une peine inférieure aux minimas posés par l’art. 132 al. 3 CPP qui paraît susceptible d’être prononcée, et non une peine privative de liberté de plus d’un an tel que le soutient le recourant, de sorte que celui-ci ne se trouve pas dans un cas de défense obligatoire au sens de l’art. 130 CPP. De surcroît, contrairement à ce que prétend le recourant, il n’apparaît pas que la cause présente objectivement, sur le plan des faits ou du droit, des difficultés que ce dernier ne pourrait pas surmonter sans l’assistance d’un avocat. En outre, l’intéressé reconnaît bien parler la langue de la procédure. Il est ainsi en mesure d’assurer seul sa défense, bien qu’il ne soit pas familier des procédures judiciaires. Enfin, on relèvera que la plaignante n’a pas été mise au bénéfice de l’assistance judiciaire gratuite, de sorte que l’égalité entre les parties est garantie.</w:t>
      </w:r>
    </w:p>
    <w:p>
      <w:r>
        <w:rPr>
          <w:b/>
        </w:rPr>
        <w:t>E. 3.1</w:t>
      </w:r>
    </w:p>
    <w:p>
      <w:r>
        <w:t>Le recourant allègue encore qu’une condamnation même légère pourrait avoir une incidence grave dans le cadre de la procédure civile entre son épouse et lui-même notamment concernant son droit de visite.</w:t>
      </w:r>
    </w:p>
    <w:p>
      <w:r>
        <w:rPr>
          <w:b/>
        </w:rPr>
        <w:t>E. 3.2</w:t>
      </w:r>
    </w:p>
    <w:p>
      <w:r>
        <w:t>D'après les art. 6 al. 3 let. c CEDH (Convention du 4 novembre 1950 de sauvegarde des droits de l'homme et des libertés fondamentales, RS 0.101) et 29 al. 3 Cst (Constitution fédérale de la Confédération suisse du 18 avril 1999, RS 101), si la procédure est susceptible d'avoir une influence particulièrement forte sur la position juridique de l'intéressé, la désignation d'un avocat gratuit est en principe impérative (ATF 129 I 281 c. 3.1, JT 2005 IV 36). Tel est le cas lorsqu'une condamnation même légère aurait une incidence que l'on pourrait qualifier de grave dans une autre procédure comme par exemple si la prévenue court le risque de perdre la garde de ses enfants en cas de condamnation pénale (Harari/Aliberti, op. cit., n. 64 ad art. 132).</w:t>
      </w:r>
    </w:p>
    <w:p>
      <w:r>
        <w:rPr>
          <w:b/>
        </w:rPr>
        <w:t>E. 3.3</w:t>
      </w:r>
    </w:p>
    <w:p>
      <w:r>
        <w:t>En l’espèce, une condamnation pénale pour les faits de la cause ne semble pas devoir entraîner de conséquences irrémédiables sur la position du recourant dans le cadre de la procédure de séparation entre la plaignante et lui-même. En effet, la nature des faits reprochés ne paraît pas à elle seule susceptible de priver A.W.________ de son autorité parentale ou de son droit de visite, contrairement à celle ressortant de l’arrêt cité par l’intéressé − CREP 7 juin 2011/217 − où la recourante était prévenue d’enlèvement de mineur. En outre, le recourant aura la possibilité, par son propre comportement, de démontrer aux autorités compétentes qu’il est apte à exercer correctement son droit de visite sur sa fille. Cela étant, sous cet angle-là également, l’assistance d’un défenseur n’apparaît pas justifiée pour sauvegarder les intérêts du recourant.</w:t>
      </w:r>
    </w:p>
    <w:p>
      <w:r>
        <w:rPr>
          <w:b/>
        </w:rPr>
        <w:t>E. 4</w:t>
      </w:r>
    </w:p>
    <w:p>
      <w:r>
        <w:t>Au vu de ce qui précède, le recours, manifestement mal fondé, doit être rejeté sans autres échanges d'écritures (art. 390 al. 2 CPP) et l’ordonnance attaquée confirmée. Les frais de la procédure de recours, constitués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20 novembre 2014 est confirmée. III. Les frais d’arrêt, par 660 fr. (six cent soixante francs), sont mis à la charge de A.W.________. IV. Le présent arrêt est exécutoire. Le président :               La greffière : Du Le présent arrêt, dont la rédaction a été approuvée à huis clos, est notifié, par l'envoi d'une copie complète, à : - M. Raphaël Tatti, avocat (pour A.W.________),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