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170 vom 26. Februar 2015</w:t>
      </w:r>
    </w:p>
    <w:p>
      <w:r>
        <w:t>VD Tribunal cantonal, 2015-02-26, FR</w:t>
      </w:r>
    </w:p>
    <w:p>
      <w:r>
        <w:rPr>
          <w:b/>
        </w:rPr>
        <w:t xml:space="preserve">Quelle: </w:t>
      </w:r>
      <w:r>
        <w:t>https://mcp.opencaselaw.ch/entscheid/vd_findinfo_D_cision___2015___170</w:t>
      </w:r>
    </w:p>
    <w:p>
      <w:r>
        <w:t>FR: VD_FINDINFO Décision / 2015 / 170 du 26 février 2015</w:t>
      </w:r>
    </w:p>
    <w:p>
      <w:r>
        <w:t>IT: VD_FINDINFO Décision / 2015 / 170 del 26 febbraio 2015</w:t>
      </w:r>
    </w:p>
    <w:p>
      <w:pPr>
        <w:pStyle w:val="Heading2"/>
      </w:pPr>
      <w:r>
        <w:t>Regeste</w:t>
      </w:r>
    </w:p>
    <w:p>
      <w:r>
        <w:t>LIBÉRATION CONDITIONNELLE, MESURE THÉRAPEUTIQUE INSTITUTIONNELLE | 59 ch. 4 CP, 62 al. 1 CP</w:t>
      </w:r>
    </w:p>
    <w:p>
      <w:pPr>
        <w:pStyle w:val="Heading2"/>
      </w:pPr>
      <w:r>
        <w:t>Erwägungen</w:t>
      </w:r>
    </w:p>
    <w:p>
      <w:r>
        <w:rPr>
          <w:b/>
        </w:rPr>
        <w:t>E. 1.1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w:t>
      </w:r>
    </w:p>
    <w:p>
      <w:r>
        <w:rPr>
          <w:b/>
        </w:rPr>
        <w:t>E. 1.2</w:t>
      </w:r>
    </w:p>
    <w:p>
      <w:r>
        <w:t>En l'espèce, interjeté dans le délai légal auprès de l’autorité compétente et satisfaisant aux conditions de forme posées par l’art. 385 al. 1 CPP, le recours est recevable.</w:t>
      </w:r>
    </w:p>
    <w:p>
      <w:r>
        <w:rPr>
          <w:b/>
        </w:rPr>
        <w:t>E. 2.1</w:t>
      </w:r>
    </w:p>
    <w:p>
      <w:r>
        <w:t>Aux termes de l'art. 62 al. 1 CP (Code pénal; RS 311.0),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TF 6B_804/2011 du 14 février 2012 c. 1.1.2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(ATF 137 IV 201 précité c. 1.2 et les arrêts cités).</w:t>
      </w:r>
    </w:p>
    <w:p>
      <w:r>
        <w:rPr>
          <w:b/>
        </w:rPr>
        <w:t>E. 2.2</w:t>
      </w:r>
    </w:p>
    <w:p>
      <w:r>
        <w:t>En l'espèce, le Juge d'application des peines a considéré qu'il était encore prématuré de permettre au condamné de faire ses preuves en liberté, compte tenu de ce que l’évolution favorable constatée était plutôt récente, que l’intéressé n’avait qu’une conscience déficiente de sa maladie et que les biens juridiques auxquels il avait porté atteinte étaient importants. Pour sa part, le recourant se prévaut de son évolution favorable durant l’exécution de la mesure thérapeutique institutionnelle.</w:t>
      </w:r>
    </w:p>
    <w:p>
      <w:r>
        <w:rPr>
          <w:b/>
        </w:rPr>
        <w:t>E. 2.3</w:t>
      </w:r>
    </w:p>
    <w:p>
      <w:r>
        <w:t>Les motifs retenus par le Juge d'application des peines sont convaincants et la Cour de céans s'y rallie. Il ressort en effet du dernier avis déposé par le Dr [...] que l’état de santé du condamné, respectivement le risque de réitération que présente l’intéressé, justifie la poursuite du séjour en EMS fermé. Le propre thérapeute du condamné est en effet réticent quant à une libération conditionnelle de son patient, dont il tient la conscience morbide pour seulement partielle. Cet avis n’est infirmé par aucune pièce, singulièrement pas par l’évolution favorable décrite par ailleurs. Il ressort également de ses propos tenus en audience que le condamné minimise son affection et ses effets. Un tel défaut de conscience d’une pathologie psychiatrique chronique recèle à l’évidence des risques d’infractions similaires à celles qui sont à l’origine de la condamnation, vu les difficultés du condamné à gérer le stress relationnel. Ce facteur étant de mauvais pronostic, ce n’est donc pas sans raison légitime que les divers intervenants s’accordent à n’élargir le cadre institutionnel que de manière progressive. A cela s’ajoute que le condamné n’est pas toujours abstinent, puisqu’il a récemment été contrôlé positif au cannabis. Cette consommation implique un risque objectif supplémentaire de réitération. En effet, outre que ce comportement relativise les appréciations favorables émises antérieurement, il est notoire que le stupéfiant consommé est susceptible d’accroître les symptômes de la schizophrénie.</w:t>
      </w:r>
    </w:p>
    <w:p>
      <w:r>
        <w:rPr>
          <w:b/>
        </w:rPr>
        <w:t>E. 2.4</w:t>
      </w:r>
    </w:p>
    <w:p>
      <w:r>
        <w:t>Quant à la prolongation de la mesure thérapeutique institutionnelle, elle n’est pas contestée en tant que telle. Vérifié d’office, le délai fixé par le premier juge apparaît adéquat au vu du principe découlant de l’art. 59 al. 4 in fine CP, s’agissant d’un examen d’office selon l’art. 62d al. 1 CP.</w:t>
      </w:r>
    </w:p>
    <w:p>
      <w:r>
        <w:rPr>
          <w:b/>
        </w:rPr>
        <w:t>E. 3</w:t>
      </w:r>
    </w:p>
    <w:p>
      <w:r>
        <w:t>En définitive, le recours, manifestement mal fondé, doit être rejeté sans autres échanges d’écritures (art. 390 al. 2 CPP) et l'ordonnance du 26 janvier 2015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janvier 2015 est confirmée. III. L’indemnité due au défenseur d’office de N.________ est fixée à 583 fr. 20 (cinq cent huitante-trois francs et vingt centimes). IV. L'émolument d’arrêt, par 770 fr. (sept cent septante francs), ainsi que l’indemnité due au défenseur d’office de N.________, par 583 fr. 20 (cinq cent huitante-trois francs et vingt centimes), sont mis à la charge de ce dernier. V. Le remboursement à l'Etat de l'indemnité allouée au chiffre III ci-dessus ne sera exigible que pour autant que la situation économique de N.________ se soit améliorée. VI. Le présent arrêt est exécutoire. Le président :               Le greffier : Du Le présent arrêt, dont la rédaction a été approuvée à huis clos, est notifié, par l'envoi d'une copie complète, à : - Mme Gisèle de Benoit, avocate (pour N.________), - Ministère public central, et communiqué à : ‑ M. le Juge d'application des peines, - M. le Procureur de l'arrondissement de Lausanne, - Office d'exécution des peines (réf. : OEP/MES/67001/NJ), - SPOP, secteur étrangers, - Direction de l’EMS La Pommeraie, - M. Mahmoud Hanafi, curateur,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