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166 vom 19. Februar 2015</w:t>
      </w:r>
    </w:p>
    <w:p>
      <w:r>
        <w:t>VD Tribunal cantonal, 2015-02-19, FR</w:t>
      </w:r>
    </w:p>
    <w:p>
      <w:r>
        <w:rPr>
          <w:b/>
        </w:rPr>
        <w:t xml:space="preserve">Quelle: </w:t>
      </w:r>
      <w:r>
        <w:t>https://mcp.opencaselaw.ch/entscheid/vd_findinfo_D_cision___2015___166</w:t>
      </w:r>
    </w:p>
    <w:p>
      <w:r>
        <w:t>FR: VD_FINDINFO Décision / 2015 / 166 du 19 février 2015</w:t>
      </w:r>
    </w:p>
    <w:p>
      <w:r>
        <w:t>IT: VD_FINDINFO Décision / 2015 / 166 del 19 febbraio 2015</w:t>
      </w:r>
    </w:p>
    <w:p>
      <w:pPr>
        <w:pStyle w:val="Heading2"/>
      </w:pPr>
      <w:r>
        <w:t>Regeste</w:t>
      </w:r>
    </w:p>
    <w:p>
      <w:r>
        <w:t>CLASSEMENT DE LA PROCÉDURE, VIOLATION D'UNE OBLIGATION D'ENTRETIEN | 217 CP, 319 CPP (CH), 393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(art. 382 al. 1 CPP) et satisfaisant aux conditions de forme posées par la loi (cf.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3.1</w:t>
      </w:r>
    </w:p>
    <w:p>
      <w:r>
        <w:t>Aux termes de l’art. 217 CP, se rend coupable de violation d’une obligation d’entretien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II, 3 e éd., Berne 2010, n. 14 ad art. 217 CP). L’infraction est intentionnelle, le dol éventuel étant suffisant. L’auteur doit connaître l’étendue de son obligation, savoir qu’il lui est possible de la respecter en tout ou en partie et avoir la volonté de la violer au moins partiellement (Dupuis/Geller/Monnier/Moreillon/Piguet/Bettex/Stoll [éd.], Petit commentaire CP, Bâle 2012, n. 22 ad art. 217 CP et les réf. cit.).</w:t>
      </w:r>
    </w:p>
    <w:p>
      <w:r>
        <w:rPr>
          <w:b/>
        </w:rPr>
        <w:t>E. 3.2</w:t>
      </w:r>
    </w:p>
    <w:p>
      <w:r>
        <w:t>En l’espèce, la recourante prétend avoir été contrainte de rappeler à plusieurs reprises ses obligations au prévenu. Par ailleurs, en l’état, on ne saurait exclure que ce soit la lettre de la procureure du 22 mai 2014 impartissant à l’intéressé un délai jusqu’au 30 mai 2014 pour s’acquitter de la pension due qui ait amené ce dernier à effectuer son premier versement le 12 juin 2014. Autrement dit, il n’est pas possible en l’état d’exclure toute intention dolosive. L’instruction devra donc être complétée sur ce point.</w:t>
      </w:r>
    </w:p>
    <w:p>
      <w:r>
        <w:rPr>
          <w:b/>
        </w:rPr>
        <w:t>E. 4</w:t>
      </w:r>
    </w:p>
    <w:p>
      <w:r>
        <w:t>Il résulte de ce qui précède que le recours doit être admis, l’ordonnance attaquée annulée et le dossier de la cause renvoyé au Ministère public de l’arrondissement de La Côte pour qu’il procède dans le sens des considérants (cf. c. 3.2 supra). Les frais de la procédure de recours, constitués du seul émolument d'arrêt, par 550 fr. (art. 20 al. 1 TFIP [Tarif des frais de procédure et indemnités en matière pénale du 28 septembre 2010, RSV 312.03.1]), seront laissés à la charge de l'Etat (art. 428 al. 4 CPP). Par conséquent, la requête d’assistance judiciaire pour les frais de procédure est devenue sans objet. Par ces motifs, la Chambre des recours pénale prononce : I. Le recours est admis. II. L’ordonnance du 25 novembre 2014 est annulée. III. Le dossier de la cause est renvoyé au Ministère public de l’arrondissement de La Côte pour qu’il procède dans le sens des considérants. IV. Les frais d’arrêt, par 550 fr. (cinq cent cinquante francs), sont laissés à la charge de l’Etat. V. La requête d’assistance judiciaire pour les frais de procédure est sans objet. VI. Le présent arrêt est exécutoire. Le président :               La greffière : Du Le présent arrêt, dont la rédaction a été approuvée à huis clos, est notifié, par l'envoi d'une copie complète, à : - Mme A.________, - M.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