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165 vom 13. Februar 2015</w:t>
      </w:r>
    </w:p>
    <w:p>
      <w:r>
        <w:t>VD Tribunal cantonal, 2015-02-13, FR</w:t>
      </w:r>
    </w:p>
    <w:p>
      <w:r>
        <w:rPr>
          <w:b/>
        </w:rPr>
        <w:t xml:space="preserve">Quelle: </w:t>
      </w:r>
      <w:r>
        <w:t>https://mcp.opencaselaw.ch/entscheid/vd_findinfo_D_cision___2015___165</w:t>
      </w:r>
    </w:p>
    <w:p>
      <w:r>
        <w:t>FR: VD_FINDINFO Décision / 2015 / 165 du 13 février 2015</w:t>
      </w:r>
    </w:p>
    <w:p>
      <w:r>
        <w:t>IT: VD_FINDINFO Décision / 2015 / 165 del 13 febbraio 2015</w:t>
      </w:r>
    </w:p>
    <w:p>
      <w:pPr>
        <w:pStyle w:val="Heading2"/>
      </w:pPr>
      <w:r>
        <w:t>Regeste</w:t>
      </w:r>
    </w:p>
    <w:p>
      <w:r>
        <w:t>CLASSEMENT DE LA PROCÉDURE, INDICE, VOL{DROIT PÉNAL} | 139 ch. 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(art. 322 al. 2 CPP et art. 396 al. 1 CPP) par la partie plaignante, qui a qualité pour recourir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le Ministère public a en bref considéré que si l'instruction avait permis d'établir que le prévenu avait bien été présent au restaurant le jour où le vol aurait été commis, elle n'avait en revanche mis en évidence aucun indice concret l'incriminant. Comme aucune nouvelle mesure d'instruction n'apparaissait susceptible d'établir les faits dénoncés, il se justifiait d'ordonner le classement de la procédure pénale. La recourante soutient que les déclarations successives du prévenu seraient contradictoires. Elle critique en outre les qualifications de la personne ayant procédé à l'analyse du matériel informatique de l'établissement public.</w:t>
      </w:r>
    </w:p>
    <w:p>
      <w:r>
        <w:rPr>
          <w:b/>
        </w:rPr>
        <w:t>E. 2.3</w:t>
      </w:r>
    </w:p>
    <w:p>
      <w:r>
        <w:t>Il ressort certes du dossier que les déclarations du prévenu et celles d'un employé de l'établissement entendu comme témoin comportent des imprécisions et ne se recoupent pas entièrement. Ce seul fait n'est cependant pas de nature à incriminer le prévenu, puisqu'il en résulte uniquement qu'on ne peut déterminer sur cette base quelle est la personne qui a procédé aux opérations de clôture de caisse les soirs en question; l'instruction n'a pas permis d'éclaircir la situation. Il apparaît en effet que l'organisation de l'établissement public empêche en fin de compte de déterminer les responsabilités respectives des uns et des autres au sein de celui-ci lors des soirs en question. Ainsi que la recourante l'admet elle-même dans sa plainte, il n'existait pas de processus rigoureux ou de méthode de travail codifiée s'agissant de la remise de l'argent encaissé. Selon ses indications (P.  4, p. 2), lorsqu'elle était présente sur les lieux, elle prenait l'argent directement; d'autres soirs, l'argent était amené à la recourante par le prévenu; d'autres soirs encore, l'argent était mis dans un coffre. A ce qui précède s'ajoute encore le fait que le tenancier de fait de l'établissement était semble-t-il le père de la recourante (cf. spéc. PV aud. 1, réponse 7). Les différentes pièces comptables au dossier, essentiellement des relevés de caisse, ne fournissent aucun renseignement fiable sur ce qui s'est concrètement passé les soirs en question. A ce titre, on ne voit pas ce que la recourante entend déduire du fait que les investigations informatiques auraient, selon elle, été mal exécutées. La recourante a eu l'occasion de faire verser au dossier les données informatiques issues de son ordinateur susceptibles d'étayer sa plainte (cf. spéc. P. 20 et annexes); l'examen de celles-ci ne met cependant pas en évidence l'existence d'une infraction, ni, à plus forte raison, l'imputabilité de celle-ci au prévenu. Elles établissent tout au plus que la somme maximale qui a pu être volée s'élève à 1'628 fr. 70, somme sensiblement inférieure au montant mentionné dans la plainte pénale. Compte tenu des circonstances, comme l'a retenu le Ministère public, on ne voit pas quelles investigations supplémentaires permettraient d'établir l'existence des faits reprochés au prévenu, de sorte que le classement de la procédure pénale ne prête pas le flanc à la critique.</w:t>
      </w:r>
    </w:p>
    <w:p>
      <w:r>
        <w:rPr>
          <w:b/>
        </w:rPr>
        <w:t>E. 3</w:t>
      </w:r>
    </w:p>
    <w:p>
      <w:r>
        <w:t>En définitive, le recours doit être rejeté sans autre échange d’écritures (art. 390 al. 2 CPP) et l’ordonnance attaquée confirmée. Les frais de la procédure de recours, constitués en l'espèce uniquement de l’émolument d’arrêt (art. 422 al. 1 CPP), par 550 fr. (art. 20 al. 1 TFIP [Tarif des frais de procédure et indemnités en matière pénale du 28 septembre 2010; RSV 312.03.1]), devraient être mis à la charge de la recourante, qui succombe (art. 428 al. 1 CPP). Dès lors que celle-ci est au bénéfice de l’assistance judiciaire gratuite comprenant l’exonération des frais de procédure, ces frais seront provisoirement laissés à la charge de l’Etat, mais la recourante sera tenue de les rembourser dès que sa situation financière le permettra (art. 135 al. 4 et 138 al. 1 CPP; cf. Mazzuchelli/Postizzi, in : Basler Kommentar, Schweizerische Strafprozess­ordnung, Jugendstrafprozessordnung, 2 e éd., Bâle 2014, n. 4 ad art. 138 CPP; Harari/Corminboeuf, in : Commentaire romand, Code de procédure pénale suisse, Bâle 2011, n. 51 ad art. 136 CPP; CREP 9 juillet 2013/652 c. 3). Par ces motifs, la Chambre des recours pénale prononce : I. Le recours est rejeté. II. L'ordonnance du 4 décembre 2014 est confirmée. III. Les frais de la procédure de recours, par 550 fr. (cinq cent cinquante francs), sont provisoirement laissés à la charge de l'Etat. IV. W.________ est tenue de rembourser à l’Etat les frais fixés au ch. III ci-dessus dès que sa situation financière le permettra. V. Le présent arrêt est exécutoire. Le président :               Le greffier : Du Le présent arrêt, dont la rédaction a été approuvée à huis clos, est notifié, par l'envoi d'une copie complète, à : - M. François Pidoux, avocat (pour W.________), - Mme Cornelia Seeger Tappy, avocate (pour E.________), - Ministère public central, et communiqué à : ‑ Mme W.________,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