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158 vom 29. Mai 2013</w:t>
      </w:r>
    </w:p>
    <w:p>
      <w:r>
        <w:t>VD Tribunal cantonal, 2013-05-29, FR</w:t>
      </w:r>
    </w:p>
    <w:p>
      <w:r>
        <w:rPr>
          <w:b/>
        </w:rPr>
        <w:t xml:space="preserve">Quelle: </w:t>
      </w:r>
      <w:r>
        <w:t>https://mcp.opencaselaw.ch/entscheid/vd_findinfo_D_cision___2015___158</w:t>
      </w:r>
    </w:p>
    <w:p>
      <w:r>
        <w:t>FR: VD_FINDINFO Décision / 2015 / 158 du 29 mai 2013</w:t>
      </w:r>
    </w:p>
    <w:p>
      <w:r>
        <w:t>IT: VD_FINDINFO Décision / 2015 / 158 del 29 maggio 2013</w:t>
      </w:r>
    </w:p>
    <w:p>
      <w:pPr>
        <w:pStyle w:val="Heading2"/>
      </w:pPr>
      <w:r>
        <w:t>Regeste</w:t>
      </w:r>
    </w:p>
    <w:p>
      <w:r>
        <w:t>DROIT DE LA FONCTION PUBLIQUE, CLASSE DE TRAITEMENT, EMPLOYÉ PUBLIC, RECONNAISSANCE D'UN DIPLÔME, SALAIRE, ARBITRAIRE DANS L'APPLICATION DU DROIT, ÉGALITÉ DE TRAITEMENT, POUVOIR D'APPRÉCIATION | 8 Cst., 9 Cst., 19 al. 1 LPers-VD, 76 LPA-VD, 6 DecFo</w:t>
      </w:r>
    </w:p>
    <w:p>
      <w:pPr>
        <w:pStyle w:val="Heading2"/>
      </w:pPr>
      <w:r>
        <w:t>Erwägungen</w:t>
      </w:r>
    </w:p>
    <w:p>
      <w:r>
        <w:rPr>
          <w:b/>
        </w:rPr>
        <w:t>E. 6</w:t>
      </w:r>
    </w:p>
    <w:p>
      <w:r>
        <w:t>au regard du critère des compétences sociales. Il explique que la Commission n’aurait pas dû retenir que la difficulté de transmission des messages de l’intimée était assez grande. A son avis, le fait que l’intimée ait à transmettre des messages à un grand nombre de personnes n’est pas relevant, du moment que ces personnes font toutes partie du même domaine que celui dans lequel travaille l’intimée. Cependant, il faut relever que ces personnes ne sont pas toutes spécialisées dans ce domaine. C’est le cas, par exemple, des services des écoles ou des prestataires de services. De surcroît, les messages transmis par l’intimée sont diversifiés dans le sens où leur contenu varie sensiblement selon les secteurs, par exemple entre les informations financières et la formation des stagiaires. C’est d’ailleurs ce qu’explique la Commission : « l’éventail d’interlocuteurs de la recourante est donc large et plus ou moins familier avec son domaine d’activité, ce qui complexifie la transmission des messages » (page 10 de la décision dont est recours). Par ailleurs, le recourant n’explicite pas clairement en quoi la Commission se serait montrée arbitraire lors de son analyse des compétences sociales de l’intimée. Au vu de ce qui précède, l’octroi du niveau 6 n’apparaît pas insoutenable. Le recours est également mal fondé sur ce point, de sorte que le moyen d’arbitraire doit être écarté. V. a) Le recourant reproche encore à la Commission d’avoir uniquement analysé les niveaux 5 et 6 de la chaîne 171 sans examiner les compétences requises pour le niveau 4 de cette même chaîne. b) Selon l’art. 3 de l’Arrêté relatif à la mise en œuvre de la politique salariale de l’Etat de Vaud (ANPS), la transition des fonctions de l’ancien au nouveau système peut être directe, semi-directe ou indirecte : « a. […], b. […],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Pour déterminer dans quel niveau colloquer un poste alors que la chaîne est déterminée, il suffit donc d’analyser le cahier des charges du poste en question. c) En l’occurrence, la Commission a d’abord comparé le cahier des charges de l’intimée avec les critères posés pour les niveaux 5 et 6 de la chaîne 171. En arrivant à la conclusion que le niveau 6 correspondait au cahier des charges de la recourante, elle a donc renoncé à analyser les critères posés pour le niveau 4. Cela fait sens, car il semble logique que si un poste atteint un certain niveau, il remplira également les critères des niveaux inférieurs, ceux-ci étant forcément moins rigoureux. C’est donc à juste titre que la Commission s’est limitée à analyser uniquement les niveaux 5 et 6. Partant la Commission n’a pas versé dans l’arbitraire, de sorte que ce grief doit être rejeté également. VI. a) Le recourant soutient encore que la décision rendue par la Commission viole le principe de l'égalité de traitement. Il voit notamment une inégalité par rapport aux autres bibliothécaires-documentalistes assistantes qui n’ont pas été colloquées au niveau 6 alors que leurs activités étaient similaires à celles de l’intimée. En fait, ces activités resteraient assez simples et ne confèreraient pas de difficultés particulières dans l’accomplissement des tâches quotidiennes. Le recourant fait grief à la Commission de ne pas prendre en compte l’ensemble des caractéristiques des postes considérés. De plus, la Commission se serait bornée à constater que l’intimée effectuait certaines tâches sans les remettre dans leur contexte, soit notamment en ayant surévalué les tâches effectives de l’intimée ainsi que les responsabilités qui en découlent. b) Selon la jurisprudence,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consid. 9.1).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p. 8, consid.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p. 165, consid. 3.2) et admet qu'un système de rémunération présente nécessairement un certain schématisme (ATF 121 I 102, p. 104, consid.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(ATF non publié 9C_282/2013 du 31 août 2013, consid. 4.4). c) Dans le cas particulier, la Commission a examiné les cahiers des charges qui lui semblaient utiles à l’examen du recours dont elle était saisi et écarté d’autres moyens de preuve par une appréciation anticipée de ceux-ci. Il n’y a rien à redire à ce mode de faire. De toute manière, le grief d’inégalité de traitement est inconsistant dès lors que l’examen des cahiers des charges produits à titre comparatif par le recourant ne permet pas de conduire à la réforme ou la nullité de la décision entreprise. d) En l’occurrence, le recourant reprend, à titre de comparaison, des postes semblables à ceux déjà soumis à l’autorité inférieure et fournit en plus d’autres cahiers des charges de bibliothécaires-documentalistes assistantes, colloquées au niveau 4 ou 5 – chaîne 171. Il expose que, par rapport aux autres postes colloqués au niveau 5, l’intimée a des responsabilités et une marge de manoeuvre moins élevées. L’on ne saurait ainsi colloquer le poste de l’intimée à un niveau supérieur. S’agissant du poste au sein du DGES, colloqué au niveau 4, sa titulaire a moins de responsabilités que l’intimée et a des activités qui demandent moins de connaissances approfondies de la bibliothèque. Par exemple, l’intimée est chargée de gérer le prêt avec la collaboration des autres bibliothécaires alors que la collaboratrice qui occupe le poste colloqué au niveau 4 ne fait que participer à la gestion du prêt, au même titre que les bibliothécaires qui collaborent avec l’intimée. De plus, l’impact de l’activité de l’intimée est plus grand que celui de la titulaire du poste colloqué en niveau 4. En effet, l’intimée gère l’entier de l’économat de la bibliothèque et s’occupe de la formation et de l’encadrement des stagiaires, ce qui n’est pas le cas de la titulaire du poste colloqué en niveau 4. Cela démontre que les affaires traitées par l’intimée sont plus pointues et ont plus d’impact compte tenu du positionnement de l’intimée dans les différentes activités qui lui sont confiées. Au vu de ce qui précède, une similitude sur quelques critères ne permet pas à elle seule d’en déduire que ces fonctions ont des exigences identiques et qu’elles doivent donc être colloquées de la même manière. La marge de manœuvre et les responsabilités de l’intimée sont plus larges que celles des postes comparés, comme examiné plus haut. Il n’est ainsi pas contraire au principe de l’égalité de traitement que l’intimée soit colloquée à un niveau supérieur. Partant, ce grief doit être écarté. e) Le Tribunal de céans a opéré une comparaison des activités de l’intimée et de celles d’un poste colloqué au niveau 6 (poste n° [...]). Elle fait apparaître que les activités de l’intimée exigent les mêmes responsabilités et la même autonomie, comme le constate avec raison la Commission dans sa décision. Ainsi, il ressort du cahier des charges du poste n° [...] que les responsabilités et les opérations confiées aux deux collaboratrices sont similaires, bien qu’elle ne soient pas identiques. Par exemple, le poste n° [...] demande au collaborateur de participer au développement du Centre dans lequel se trouve la bibliothèque, ce qui n’est pas le cas du poste de l’intimée. Par contre, cette dernière s’occupe d’encadrer les stagiaires ou de participer à des projets spéciaux selon les besoins de la bibliothèque, ce qui demande des connaissances accrues de son domaine. De ce fait, les différences qui existent entre les deux postes se compensent les unes les autres, de sorte qu’elle sont au final comparables. De plus, d’autres activités sont communes aux deux postes, par exemple les activité liées au prêt et à sa gestion. En définitive, le recourant ne saurait se prévaloir d’une inégalité de traitement, dans la mesure où des situations semblables ont été traitées de manière semblable et des situations différentes de manière différente. Partant, ce grief doit également être écarté. De plus, la collocation du poste de l’intimée au niveau 6 semble cohérente à l’interne de l’administration cantonale. Pour cette raison également, le moyen tiré du principe de l’égalité de traitement doit être écarté. VII. a) A la lumière de ce qui précède, le recours doit être rejeté. b) Les frais de seconde instance sont arrêtés à 500 fr. et mis à la charge du recourant (art. 47 al. 2, 49 al. 1 LPA-VD, art. 4 al. 3 du tarif des frais judiciaires en matière de droit administratif et public du 11 décembre 2007; RSV 173.36.5.1). Il n’y pas lieu d’allouer de dépens à l’intimée,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