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156 vom 20. Februar 2015</w:t>
      </w:r>
    </w:p>
    <w:p>
      <w:r>
        <w:t>VD Tribunal cantonal, 2015-02-20, FR</w:t>
      </w:r>
    </w:p>
    <w:p>
      <w:r>
        <w:rPr>
          <w:b/>
        </w:rPr>
        <w:t xml:space="preserve">Quelle: </w:t>
      </w:r>
      <w:r>
        <w:t>https://mcp.opencaselaw.ch/entscheid/vd_findinfo_D_cision___2015___156</w:t>
      </w:r>
    </w:p>
    <w:p>
      <w:r>
        <w:t>FR: VD_FINDINFO Décision / 2015 / 156 du 20 février 2015</w:t>
      </w:r>
    </w:p>
    <w:p>
      <w:r>
        <w:t>IT: VD_FINDINFO Décision / 2015 / 156 del 20 febbraio 2015</w:t>
      </w:r>
    </w:p>
    <w:p>
      <w:pPr>
        <w:pStyle w:val="Heading2"/>
      </w:pPr>
      <w:r>
        <w:t>Regeste</w:t>
      </w:r>
    </w:p>
    <w:p>
      <w:r>
        <w:t>RISQUE DE COLLUSION, RISQUE DE FUITE, PREUVE, ILLICÉITÉ, DÉTENTION PROVISOIRE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3.1</w:t>
      </w:r>
    </w:p>
    <w:p>
      <w:r>
        <w:t>Le recourant soutient que, sans la transaction du 5 février 2015 avec un policier en civil, qui constitue à ses yeux une preuve illégale au regard de l’art. 140 CPP, le Ministère public n’ayant vraisemblablement pas, faute de mention à cet égard au dossier, ordonné d’investigation secrète au sens des art. 285a ss CPP, la perquisition opérée rue de [...]  n’aurait pas pu avoir lieu ni par conséquent son arrestation. Selon le recourant, toutes les preuves obtenues ultérieurement, et dérivées de cette première preuve qu’il estime illégale, seraient également inexploitables au regard de l’art. 141 CPP. Des soupçons reposant sur de telles preuves inexploitables ne pourraient par conséquent pas jusitifer la détention provisoire.</w:t>
      </w:r>
    </w:p>
    <w:p>
      <w:r>
        <w:rPr>
          <w:b/>
        </w:rPr>
        <w:t>E. 3.2</w:t>
      </w:r>
    </w:p>
    <w:p>
      <w:r>
        <w:t>Tant la mise en détention provisoire que le placement en détention pour des motifs de sûreté n’est possible que s’il existe, préalablement à toute autre cause, de graves soupçons de culpabilité d’avoir commis un crime ou un délit à l’égard de l’auteur présumé (ATF 139 IV 186 c. 2 ; Schmocker, in : Kuhn/ 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 TF 1B_423/2010 du 17 janvier 2011 c. 4.1; Piquerez, Traité de procédure pénale suisse, 2 e éd., Zurich 2006, n. 845 ; Schmocker, op. cit., n. 8 ad art. 221 CPP, p. 1025; Forster, in : Niggli/Heer/Wiprächtiger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 ATF 124 I 208 c. 3 ; ATF 116 Ia 413 c. 3c ; TF 1B_423/2010 du 17 janvier 2011 c. 4.1 ; TF 1B_410/2010 du 23 décembre 2010 c. 4.1 ; Forster, op. cit., n. 3 ad art. 221 CPP).</w:t>
      </w:r>
    </w:p>
    <w:p>
      <w:r>
        <w:rPr>
          <w:b/>
        </w:rPr>
        <w:t>E. 3.3</w:t>
      </w:r>
    </w:p>
    <w:p>
      <w:r>
        <w:t>En l’espèce, il résulte du rapport d’investigation établi par la police le 6 février 2015 les éléments suivants. Le 5 février 2015, un dispositif policier a été mis en place dans le centre-ville de [...]. Vers 21 h 10, un Africain, identifié par la suite comme étant A.H.________, a vendu une boulette de cocaïne à un policier en civil dans le bar « [...]». Peu auparavant, le recourant avait été abordé par un policer à qui il avait proposé une boulette de cocaïne pour 100 fr., était allé chercher la marchandise dans l’appartement sis rue de [...], puis était rentré dans le bar afin de conclure la transaction. Celle-ci achevée, le recourant a communiqué au client policier le numéro de téléphone à appeler pour de futurs achats de cocaïne, puis a été appréhendé et conduit dans les locaux de la police. Sur ordre verbal du procureur, l’appartement précité a été perquisitionné. Le déroulement des opérations, tel qu’il résulte de ce rapport, semble ainsi aller dans le sens des allégations du recourant. Toutefois, on ne peut tenir pour manifeste que l’intervention du policier en civil serait illégale (cf. Bénédict/Treccani in : Kuhn/Jeanneret (éd.), op. cit., nn. 21-22 ad art. 140 CPP, pp. 614-615) ni que les autres preuves n’auraient pas pu être recueillies d’une autre manière (cf. art. 141 al. 4 CPP). De même que le juge de la détention n’a pas à procéder à une pesée complète des éléments à charge et à décharge, de même il ne lui appartient pas de trancher à titre préjudiciel des questions aussi controversées que celle soulevée par le recourant dans le cas présent (cf. ATF 134 IV 266, JT 2008 IV 35 ; ATF 124 IV 34 c. 3, JT 2006 IV 140). Le Tribunal fédéral, dans une affaire de pédopornographie en relation avec l’utilisation d’un Internet-Chatroom, a d’ailleurs jugé que l’argument d’un prévenu détenu préventivement, qui prétendait que le policier impliqué avait agi comme « agent provocateur », ne permettait nullement de remettre en question l’appréciation selon laquelle il existait des indices sérieux de culpabilité (TF 1B_384/2010 du 9 décembre 2010 c. 3 et les références citées). Cet arrêt précise que le principe de célérité en matière de détention provisoire laisse peu de place à l’administration de preuves étendues, sous réserve de la preuve facile à apporter d’un alibi qui serait invoqué (ibid.). Ainsi donc, le Tribunal des mesures de contrainte pouvait retenir à bon droit qu’il existait des indices suffisants reposant sur des preuves qui, prima facie, étaient exploitables.</w:t>
      </w:r>
    </w:p>
    <w:p>
      <w:r>
        <w:rPr>
          <w:b/>
        </w:rPr>
        <w:t>E. 4</w:t>
      </w:r>
    </w:p>
    <w:p>
      <w:r>
        <w:t>Le recourant conteste l’existence d’un risque de fuite.</w:t>
      </w:r>
    </w:p>
    <w:p>
      <w:r>
        <w:rPr>
          <w:b/>
        </w:rPr>
        <w:t>E. 4.1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4.2</w:t>
      </w:r>
    </w:p>
    <w:p>
      <w:r>
        <w:t>En l’espèce, le recourant, né en 1990 en Guinée, d’où il est originaire, n’est au bénéfice d’aucune autorisation de séjour en Suisse, où il n’a ni emploi ni domicile fixe connu. En l’absence de toute attache avec la Suisse, il est à craindre qu’il ne cherche à se soustraire aux poursuites engagées contre lui en prenant la fuite ou en disparaissant dans la clandestinité. Bien réel, le risque de fuite justifie la détention provisoire du recourant.</w:t>
      </w:r>
    </w:p>
    <w:p>
      <w:r>
        <w:rPr>
          <w:b/>
        </w:rPr>
        <w:t>E. 5</w:t>
      </w:r>
    </w:p>
    <w:p>
      <w:r>
        <w:t>L’ordonnance attaquée se fonde également sur le risque de collusion.</w:t>
      </w:r>
    </w:p>
    <w:p>
      <w:r>
        <w:rPr>
          <w:b/>
        </w:rPr>
        <w:t>E. 5.1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cf. ATF 137 IV 122 c. 6.2 et 6.4) – vise à garantir la constatation exacte et complète des faits.</w:t>
      </w:r>
    </w:p>
    <w:p>
      <w:r>
        <w:rPr>
          <w:b/>
        </w:rPr>
        <w:t>E. 5.2</w:t>
      </w:r>
    </w:p>
    <w:p>
      <w:r>
        <w:t>En l’espèce, il est douteux que le recourant, malgré ses aveux, se soit entièrement expliqué sur le trafic auquel il est soupçonné d’avoir pris part. On ignore l’ampleur de celui-ci et le rôle précis qu’y aurait joué le recourant. Des contrôles sont actuellement en cours sur les téléphones saisis lors de la perquisition, en particulier sur celui dont le recourant a indiqué le numéro lors de la transaction du 5 février 2015. Il importe ainsi d’éviter que le recourant ne tente d’influencer les déclarations des clients qui pourraient être identifiés par les investigations en cours, voire de prévenir ses fournisseurs de l’enquête en cours. La détention provisoire du recourant est donc également justifée par le risque de collusion.</w:t>
      </w:r>
    </w:p>
    <w:p>
      <w:r>
        <w:rPr>
          <w:b/>
        </w:rPr>
        <w:t>E. 6.1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6.2</w:t>
      </w:r>
    </w:p>
    <w:p>
      <w:r>
        <w:t>Etant donné la nature et l’étendue des investigations à accomplir ainsi que des charges qui pèsent sur le recourant, la durée maximale de la détention provisoire pouvait d’emblée être fixée à trois mois. Comme l’a rappelé le Tribunal des mesures de contrainte, il appartiendra le cas échéant au procureur de libérer le prévenu de la détention provisoire s’il n’en remplit plus les conditions, notamment si les charges ne peuvent être établies.</w:t>
      </w:r>
    </w:p>
    <w:p>
      <w:r>
        <w:rPr>
          <w:b/>
        </w:rPr>
        <w:t>E. 7</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Par ces motifs, la Chambre des recours pénale prononce : I. Le recours est rejeté. II. L'ordonnance du 7 février 2015 est confirmée. III . L'indemnité allouée au défenseur d'office de A.H.________ est fixée à 583 fr. 20 (cinq cent huitante-trois francs et vingt centimes). IV. Les frais d'arrêt, par 880 fr. (huit cent huitante francs), ainsi que l'indemnité due au défenseur d'office de A.H.________, par 583 fr. 20 (cinq cent huitante-trois francs et vingt centimes), sont mis à la charge de ce dernier. V. Le remboursement à l'Etat de l'indemnité allouée au chiffre III ci-dessus sera exigible pour autant que la situation économique de A.H.________ se soit améliorée. VI. Le présent arrêt est exécutoire. Le président :               Le greffier : Du Le présent arrêt, dont la rédaction a été approuvée à huis clos, est notifié, par l'envoi d'une copie complète, à : - M. Nader Ghosn, avocat (pour A.H.________), - Ministère public central, et communiqué à : -              Mme la Présidente du Tribunal des mesures de contrainte, -              M. le Procureur cantonal Stada,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