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148 vom 8. Dezember 2014</w:t>
      </w:r>
    </w:p>
    <w:p>
      <w:r>
        <w:t>VD Tribunal cantonal, 2014-12-08, FR</w:t>
      </w:r>
    </w:p>
    <w:p>
      <w:r>
        <w:rPr>
          <w:b/>
        </w:rPr>
        <w:t xml:space="preserve">Quelle: </w:t>
      </w:r>
      <w:r>
        <w:t>https://mcp.opencaselaw.ch/entscheid/vd_findinfo_D_cision___2015___148</w:t>
      </w:r>
    </w:p>
    <w:p>
      <w:r>
        <w:t>FR: VD_FINDINFO Décision / 2015 / 148 du 8 décembre 2014</w:t>
      </w:r>
    </w:p>
    <w:p>
      <w:r>
        <w:t>IT: VD_FINDINFO Décision / 2015 / 148 del 8 dicembre 2014</w:t>
      </w:r>
    </w:p>
    <w:p>
      <w:pPr>
        <w:pStyle w:val="Heading2"/>
      </w:pPr>
      <w:r>
        <w:t>Regeste</w:t>
      </w:r>
    </w:p>
    <w:p>
      <w:r>
        <w:t>EXPERTISE PSYCHIATRIQUE, MOYEN DE PREUVE, DOMMAGE IRRÉPARABLE | 393 al. 1 let. a CPP (CH), 394 let. b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(Keller, in Donatsch/Hansjakob/Lieber [éd.], Kommentar zur Schweizerischen Strafprozessordnung, Zurich/Bâle/Genève 2014, n. 16 ad art. 393 CPP ; CREP 30 mai 2014/376 ; CREP 30 janvier 2014/73). Par souci d’économie, l'art. 394 let. b CPP déroge toutefois à ce principe (Moreillon/Parein-Reymond, Petit commentaire, Code de procédure pénale, Bâle 2013, n. 7 ad art. 394 CPP). Cette disposition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4.1; ATF 134 III 188 c. 2.3 ; ATF 133 IV 139 c. 4 ; TF 1B_688/2011 du 14 mars 2012). Cette règle comporte toutefois des exceptions, notamment lorsque le refus porte sur des moyens de preuve qui risquent de disparaître et qui visent des faits décisifs non encore élucidés (ATF 133 IV 335 c. 4 ; ATF 101 Ia 161 ; ATF 98 Ib 282 c. 4 ; TF 1B_688/2011 du 14 mars 2012 et les références citées).</w:t>
      </w:r>
    </w:p>
    <w:p>
      <w:r>
        <w:rPr>
          <w:b/>
        </w:rPr>
        <w:t>E. 1.2</w:t>
      </w:r>
    </w:p>
    <w:p>
      <w:r>
        <w:t>En l’espèce, la réquisition litigieuse porte sur la mise en œuvre d’une expertise psychiatrique du prévenu qui est poursuivi pour abus de confiance. En l’état cependant, rien ne démontre au dossier que celui-ci souffrirait de difficultés psychologiques évolutives ou qu’il y aurait un risque que l’expertise requise ne puisse pas être effectuée plus tard. Le recourant n’a lui-même pas allégué que le refus du procureur de donner suite à sa requête lui causerait un préjudice juridique irréparable. Par conséquent, il convient de considérer que sa réquisition ne porte pas sur une preuve qui serait susceptible de disparaître prochainement et qu’elle peut être renouvelée sans préjudice devant le tribunal de première instance (cf. notamment CREP 30 mai 2014/376 ; CREP 30 janvier 2014/73 ; CREP 13 septembre 2013/540 ; CREP 21 décembre 2012/801).</w:t>
      </w:r>
    </w:p>
    <w:p>
      <w:r>
        <w:rPr>
          <w:b/>
        </w:rPr>
        <w:t>E. 2</w:t>
      </w:r>
    </w:p>
    <w:p>
      <w:r>
        <w:t>Il résulte de ce qui précède que le recours doit être déclaré irrecevable, sans autres échange d’écritures (art. 390 al. 2 CPP). Les frais de la procédure de recours, constitués en l’espèce de l’émolument d'arrêt, par 550 fr. (art. 20 al. 1 TFIP [Tarif des frais de procédure et indemnités en matière pénale; RSV 312.03.1]), et des frais imputables à la défense d’office (art. 422 al. 1 et 2 let. a CPP), fixés à 360 fr., plus la TVA par 28 fr. 80, soit au total 388 fr. 80, seront mis à la charge du recourant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est irrecevable. II. Les frais d’arrêt, par 550 fr. (cinq cent cinquante francs), ainsi que l’indemnité du défenseur d'office de Q.________, par 388 fr. 80 (trois cent huitante-huit francs et huitante centimes), sont mis à la charge de Q.________. III. Le remboursement à l'Etat de l'indemnité allouée au chiffre II ci-dessus sera exigible pour autant que la situation économique de Q.________ se soit améliorée. IV. Le présent arrêt est exécutoire. Le président :               La greffière : Du Le présent arrêt, dont la rédaction a été approuvée à huis clos, est notifié, par l'envoi d'une copie complète, à : - M. Laurent Gilliard, avocat (pour Q.________), - M. Jean-Marc Courvoisier, avocat (pour L.________), - M. Cédric Thaler,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