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141 vom 21. Januar 2015</w:t>
      </w:r>
    </w:p>
    <w:p>
      <w:r>
        <w:t>VD Tribunal cantonal, 2015-01-21, FR</w:t>
      </w:r>
    </w:p>
    <w:p>
      <w:r>
        <w:rPr>
          <w:b/>
        </w:rPr>
        <w:t xml:space="preserve">Quelle: </w:t>
      </w:r>
      <w:r>
        <w:t>https://mcp.opencaselaw.ch/entscheid/vd_findinfo_D_cision___2015___141</w:t>
      </w:r>
    </w:p>
    <w:p>
      <w:r>
        <w:t>FR: VD_FINDINFO Décision / 2015 / 141 du 21 janvier 2015</w:t>
      </w:r>
    </w:p>
    <w:p>
      <w:r>
        <w:t>IT: VD_FINDINFO Décision / 2015 / 141 del 21 gennaio 2015</w:t>
      </w:r>
    </w:p>
    <w:p>
      <w:pPr>
        <w:pStyle w:val="Heading2"/>
      </w:pPr>
      <w:r>
        <w:t>Regeste</w:t>
      </w:r>
    </w:p>
    <w:p>
      <w:r>
        <w:t>DÉCISION D'IRRECEVABILITÉ, VIOLATION DE DOMICILE | 186 CP, 310 CPP (CH)</w:t>
      </w:r>
    </w:p>
    <w:p>
      <w:pPr>
        <w:pStyle w:val="Heading2"/>
      </w:pPr>
      <w:r>
        <w:t>Erwägungen</w:t>
      </w:r>
    </w:p>
    <w:p>
      <w:r>
        <w:rPr>
          <w:b/>
        </w:rPr>
        <w:t>E. 1.1</w:t>
      </w:r>
    </w:p>
    <w:p>
      <w:r>
        <w:t>Le recours a été interjeté en temps utile (art. 310 al. 2, 322 al. 2 et 396 al. 1 CPP [Code de procédure pénale suisse du</w:t>
      </w:r>
    </w:p>
    <w:p>
      <w:r>
        <w:rPr>
          <w:b/>
        </w:rPr>
        <w:t>E. 1.2</w:t>
      </w:r>
    </w:p>
    <w:p>
      <w:r>
        <w:t>Toutefois, 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Dans le cas d’espèce, il paraît douteux que le second acte déposé par K.________ le 18 janvier 2015 satisfasse aux exigences de l’art. 385 CPP. Cette question peut toutefois rester indécise dans la mesure où son recours, supposé recevable, doit dans tous les cas être rejeté sur le fond pour les motifs qui suivent. 2. K.________ reproche au procureur de ne pas être entré en matière sur sa plainte et maintient que W.________ se serait introduit sans droit dans des locaux qu’il occuperait. 2.1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2.1). 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2.2 En l’occurrence, il ressort du jugement rendu le 7 octobre 2014 par le Tribunal criminel de l’arrondissement de la Broye et du Nord vaudois que le recourant n’est pas l’ayant droit des locaux dont il est question dans sa plainte. Comme il l’a lui-même concédé lors de son audition (P. 8, p. 29), ceux-ci appartiennent à la société B._______SA, dont W.________ est l’administrateur avec signature individuelle. Il s’avère que le recourant occupait ces locaux sans droit et d’ailleurs sans payer de loyer (P. 8, p. 67). Dans ces circonstances, le fait que W.________ se soit rendu dans les locaux en question ne revêt aucun caractère illicite. 2.3 Au vu de ce qui précède, c’est donc à juste titre que le Ministère public a refusé d’entrer en matière sur la plainte de K.________. 3. En définitive, le recours doit, dans la mesure où il est recevable (c. 1.2 supra),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25 novembre 2014 est confirmée. III. Les frais d’arrêt, par 550 fr. (cinq cent cinquante francs), sont mis à la charge de K.________. IV. Le présent arrêt est exécutoire. Le président :               La greffière : Du Le présent arrêt, dont la rédaction a été approuvée à huis clos, est notifié, par l'envoi d'une copie complète, à : - M. K.________,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octobre 2007 ; RS 312.0]) contre une ordonnance de non-entrée en matière du Ministère public (art. 310 al. 2, 322 al. 2 et 393 al. 1 let. a CPP), par une partie qui a qualité pour recourir (art. 310 al. 2, 322 al. 2 et 382 al. 1 CPP). Le recours est donc recevable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