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132 vom 12. Februar 2015</w:t>
      </w:r>
    </w:p>
    <w:p>
      <w:r>
        <w:t>VD Tribunal cantonal, 2015-02-12, FR</w:t>
      </w:r>
    </w:p>
    <w:p>
      <w:r>
        <w:rPr>
          <w:b/>
        </w:rPr>
        <w:t xml:space="preserve">Quelle: </w:t>
      </w:r>
      <w:r>
        <w:t>https://mcp.opencaselaw.ch/entscheid/vd_findinfo_D_cision___2015___132</w:t>
      </w:r>
    </w:p>
    <w:p>
      <w:r>
        <w:t>FR: VD_FINDINFO Décision / 2015 / 132 du 12 février 2015</w:t>
      </w:r>
    </w:p>
    <w:p>
      <w:r>
        <w:t>IT: VD_FINDINFO Décision / 2015 / 132 del 12 febbraio 2015</w:t>
      </w:r>
    </w:p>
    <w:p>
      <w:pPr>
        <w:pStyle w:val="Heading2"/>
      </w:pPr>
      <w:r>
        <w:t>Regeste</w:t>
      </w:r>
    </w:p>
    <w:p>
      <w:r>
        <w:t>DÉTENTION PROVISOIRE, RISQUE DE COLLUSION | 221 al. 1 let. b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une première série de délits commis avant février 2013 a été mise à jour par la police (cf. rapport de la brigade financière du 20 février 2013 [P. 50] et relevés bancaires du prévenu [P. 30 et 38]). Depuis lors, le recourant a fait l’objet de deux nouvelles plaintes pénales : le mode opératoire décrit dans les plaintes pénales de W.________ (PV aud. 14) et U.________ (PV aud. 15 et P. 76) est rigoureusement similaire à celui précédemment mis à jour par la police. Compte tenu des éléments au dossier, il existe une présomption suffisamment sérieuse de culpabilité à l’encontre du prévenu, ce que celui-ci ne conteste d’ailleurs pas.</w:t>
      </w:r>
    </w:p>
    <w:p>
      <w:r>
        <w:rPr>
          <w:b/>
        </w:rPr>
        <w:t>E. 3.1</w:t>
      </w:r>
    </w:p>
    <w:p>
      <w:r>
        <w:t>Le recourant conteste le risque de collusion (art. 221 al. 1 let. b CPP).</w:t>
      </w:r>
    </w:p>
    <w:p>
      <w:r>
        <w:rPr>
          <w:b/>
        </w:rPr>
        <w:t>E. 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 6.2 et 6.4) –, vise à garantir la constatation exacte et complète des faits.</w:t>
      </w:r>
    </w:p>
    <w:p>
      <w:r>
        <w:rPr>
          <w:b/>
        </w:rPr>
        <w:t>E. 3.3</w:t>
      </w:r>
    </w:p>
    <w:p>
      <w:r>
        <w:t>En l’espèce, au vu des nouvelles plaintes déposées à l’encontre de S.________, il convient de déterminer s’il a fait d’autres victimes depuis février 2013 dans le cadre de son activité professionnelle. Les investigations envisagées par le Ministère public, à savoir notamment des perquisitions, la production des comptes bancaires de prévenu et l’audition de O.________, apparaissent dans ce cadre adéquates. Il faut donc éviter que le recourant n’entrave l’instruction en faisant disparaître des preuves et en prenant contact avec des témoins ou lésés. Comme l’a relevé à juste titre le Ministère public dans sa demande de détention provisoire, le risque est d’autant plus concret que le recourant, lors de la première phase de l’enquête, ne s’est pas montré très collaborant et avait exhorté les plaignants à annuler leurs auditions devant la police. Au vu de ce qui précède, le risque de collusion s'oppose en l’état à la levée de la détention provisoire du recourant.</w:t>
      </w:r>
    </w:p>
    <w:p>
      <w:r>
        <w:rPr>
          <w:b/>
        </w:rPr>
        <w:t>E. 3.4</w:t>
      </w:r>
    </w:p>
    <w:p>
      <w:r>
        <w:t>Par ailleurs, les mesures de substitution proposées ne sont pas de nature à parer efficacement au risque de collusion retenu. Le maintien de S.________ en détention provisoire est ainsi justifié.</w:t>
      </w:r>
    </w:p>
    <w:p>
      <w:r>
        <w:rPr>
          <w:b/>
        </w:rPr>
        <w:t>E. 3.5</w:t>
      </w:r>
    </w:p>
    <w:p>
      <w:r>
        <w:t>L’existence d'un risque de collusion dispense d’examiner si la détention provisoire s’impose également en raison du risque de récidive.</w:t>
      </w:r>
    </w:p>
    <w:p>
      <w:r>
        <w:rPr>
          <w:b/>
        </w:rPr>
        <w:t>E. 4.1</w:t>
      </w:r>
    </w:p>
    <w:p>
      <w:r>
        <w:t>Le recourant invoque une violation du principe de la proportionnalité (art. 212 al. 3 CPP).</w:t>
      </w:r>
    </w:p>
    <w:p>
      <w:r>
        <w:rPr>
          <w:b/>
        </w:rPr>
        <w:t>E. 4.2</w:t>
      </w:r>
    </w:p>
    <w:p>
      <w:r>
        <w:t>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4.3</w:t>
      </w:r>
    </w:p>
    <w:p>
      <w:r>
        <w:t>En l’espèce, S.________ est détenu depuis le 29 janvier 2015, soit depuis près de deux semaines. Compte tenu des actes qui lui sont reprochés, le recourant s'expose à une peine privative de liberté d’une durée manifestement supérieure à celle de la détention provisoire subie à ce jour. Au vu de ces éléments, le principe de la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de S.________ ne sera toutefois exigible que pour autant que la situation économique de ce dernier se soit améliorée (art. 135 al. 4 CPP). Par ces motifs, la Chambre des recours pénale prononce : I. Le recours est rejeté. II. L’ordonnance du 31 janvier 2015 est confirmée. III. L’indemnité allouée au défenseur d’office de S.________ est fixée à 777 fr. 60 (sept cent septante-sept francs et soixante centimes). IV. Les frais d’arrêt, par 770 fr. (sept cent septante francs), ainsi que l’indemnité due au défenseur d’office de S.________, par 777 fr. 60 (sept cent septante-sept francs et soixante centimes), sont mis à la charge de ce dernier. V. Le remboursement à l'Etat de l'indemnité allouée au chiffre III ci-dessus ne sera exigible que pour autant que la situation économique de S.________ se soit améliorée. VI. Le présent arrêt est exécutoire. Le président :               La greffière : Du Le présent arrêt, dont la rédaction a été approuvée à huis clos, est notifié, par l'envoi d'une copie complète, à : - M. Matthieu Genillod, avocat (pour S.________),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