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124 vom 30. Januar 2015</w:t>
      </w:r>
    </w:p>
    <w:p>
      <w:r>
        <w:t>VD Tribunal cantonal, 2015-01-30, FR</w:t>
      </w:r>
    </w:p>
    <w:p>
      <w:r>
        <w:rPr>
          <w:b/>
        </w:rPr>
        <w:t xml:space="preserve">Quelle: </w:t>
      </w:r>
      <w:r>
        <w:t>https://mcp.opencaselaw.ch/entscheid/vd_findinfo_D_cision___2015___124</w:t>
      </w:r>
    </w:p>
    <w:p>
      <w:r>
        <w:t>FR: VD_FINDINFO Décision / 2015 / 124 du 30 janvier 2015</w:t>
      </w:r>
    </w:p>
    <w:p>
      <w:r>
        <w:t>IT: VD_FINDINFO Décision / 2015 / 124 del 30 gennaio 2015</w:t>
      </w:r>
    </w:p>
    <w:p>
      <w:pPr>
        <w:pStyle w:val="Heading2"/>
      </w:pPr>
      <w:r>
        <w:t>Regeste</w:t>
      </w:r>
    </w:p>
    <w:p>
      <w:r>
        <w:t>INDEMNITÉ{EN GÉNÉRAL}, INJURE, CLASSEMENT DE LA PROCÉDURE | 177 CP, 319 CPP (CH), 429 CPP (CH), 433 al. 1 CPP(CH)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Interjetés dans le délai légal auprès de l’autorité compétente par la partie plaignante et par la partie prévenue, qui ont la qualité pour recourir (cf. art. 382 al. 1 CPP), et satisfaisant aux conditions de forme posées par la loi (cf. art. 385 al. 1 CPP), les recours sont recevables. Les recours seront traités successivement ci-après. II. Recours de A.J.________ et de B.J.________</w:t>
      </w:r>
    </w:p>
    <w:p>
      <w:r>
        <w:rPr>
          <w:b/>
        </w:rPr>
        <w:t>E. 1.1</w:t>
      </w:r>
    </w:p>
    <w:p>
      <w:r>
        <w:t>B.L.________ et A.L.________ réclament l’allocation d’une indemnité de 16'644 fr. 20 au titre des frais de défense pénale ensuite de leur libération des chefs d’accusation d’injure et de diffamation.</w:t>
      </w:r>
    </w:p>
    <w:p>
      <w:r>
        <w:rPr>
          <w:b/>
        </w:rPr>
        <w:t>E. 1.2</w:t>
      </w:r>
    </w:p>
    <w:p>
      <w:r>
        <w:t>Aux termes de l'art. 429 CPP, si le prévenu est acquitté totalement ou en partie ou s'il bénéficie d'une ordonnance de classement, il a droit à une indemnité pour les dépenses occasionnées par l'exercice raisonnable de ses droits de procédure (al. 1 let. a). L'autorité pénale examine d'office les prétentions du prévenu ; elle peut enjoindre à celui-ci de les chiffrer et de les justifier (al. 2). L'indemnité au sens de cette disposition concerne les dépenses du prévenu pour un avocat de choix (ATF 138 IV 205 c. 1). Elle couvre en particulier les honoraires d'avocat, à condition que le recours à celui-ci procède d'un exercice raisonnable des droits de procédure. Selon le Message du Conseil fédéral du 21 décembre 2005 relatif à l’unification de la procédure pénale (FF 2006 II 1313), l’Etat ne prend en charge les frais de défense que si l’assistance d’un avocat était nécessaire compte tenu de la complexité de l’affaire en fait ou en droit et que le volume de travail, et donc les honoraires, étaient ainsi justifiés.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(TF 6B_561/2014 du 11 septembre 2014 c.</w:t>
      </w:r>
    </w:p>
    <w:p>
      <w:r>
        <w:rPr>
          <w:b/>
        </w:rPr>
        <w:t>E. 1.3</w:t>
      </w:r>
    </w:p>
    <w:p>
      <w:r>
        <w:t>En l’espèce, l’ordonnance de classement s’est bornée à dire que les frais suivaient le sort de la cause. Cependant, les recourants avaient requis une indemnité pour leurs frais de défense à hauteur de 16'644 fr. 20 (P. 39). Le conseil des recourants a toutefois omis de prendre en considération le fait que ses clients ont, pour l’essentiel, été condamnés par ordonnance pénale et que, sur ce point, ils se sont vus chargés, chacun pour un cinquième, des frais de la cause, le solde des frais étant réparti par deux cinquièmes à la charge de B.J.________ et par un cinquième à la charge de A.J.________. Il apparaît ainsi que la totalité des frais de la cause a été mise à la charge des quatre prévenus. Cela signifie que seule une petite partie des frais d’avocat des recourants devrait donner lieu à une indemnité à titre de frais de défense (ATF 137 IV 352, JT 2012 IV 255). Ce montant doit être apprécié au regard de l’ensemble de la cause et de la partie libératoire par rapport à la partie condamnatoire. Les parties ayant toutes formé opposition contre les ordonnances pénales les condamnant, la charge de cette indemnité ne pourra être attribuée que lorsque le Procureur aura procédé selon l’art. 355 CPP. Il appartiendra ainsi à ce dernier – ou au Tribunal de police si les ordonnances pénales devaient être maintenues – d’attribuer les frais et les indemnités en fonction du résultat obtenu par chacun. Il résulte de ce qui précède que le recours de B.L.________ et de A.L.________ doit être admis et le dossier de la cause renvoyé au Procureur de l’arrondissement du Nord vaudois pour qu’il procède dans le sens des considérants. IV. Conclusion En définitive, le recours de A.J.________ et de B.J.________ doit être rejeté et le recours de B.L.________ et A.L.________ doit être admis, le dossier de la cause étant renvoyé au Ministère public du Nord vaudois pour qu’il procède dans le sens des considérants. Les frais de la procédure de recours, constitués en l’espèce du seul émolument d’arrêt (art. 422 al. 1 CPP), par 1’430 fr. (art. 20 al. 1 TFIP [Tarif des frais de procédure et indemnités en matière pénale du 28 septembre 2010; RSV 312.03.1]), seront mis à la charge de A.J.________ et de B.J.________, qui succombent et qui ont conclu au rejet du recours déposé par B.L.________ et A.L.________ (art. 428 al. 1 CPP), à parts égales et solidairement entre eux (art. 418 al. 1 et 2 CPP). S’agissant des dépens réclamés par B.L.________ et A.L.________, il appartient à ces derniers d’adresser à la fin de la procédure leurs prétentions à l’autorité pénale compétente selon l’art. 433 al. 2 CPP (CREP 16 avril 2013/279 c. 4 et les références citées). Par ces motifs, la Chambre des recours pénale prononce : I. Le recours de A.J.________ et de B.J.________ est rejeté. II. Le recours de B.L.________ et de A.L.________ est admis. III. L’ordonnance de classement est confirmée. IV. Le dossier de la cause est renvoyé au Ministère public de l’arrondissement du Nord vaudois pour qu’il procède dans le sens des considérants. V. Les frais d’arrêt, par 1’430 fr. (mille quatre cent trente francs), sont mis à la charge de A.J.________ et de B.J.________ à parts égales, soit par 715 fr. (sept cent quinze francs) chacun, et solidairement entre eux. VI. Le présent arrêt est exécutoire. Le président :               La greffière : Du Le présent arrêt, dont la rédaction a été approuvée à huis clos, est notifié, par l'envoi d'une copie complète, à : - M. Philippe Baudraz, avocat (pour A.J.________ et B.J.________), - M. Thibault Blanchard, avocat (pour B.L.________ et A.L.________),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2.1</w:t>
      </w:r>
    </w:p>
    <w:p>
      <w:r>
        <w:t>; TF 6B_392/2013 du 4 novembre 2013). Dès lors qu’il se déduit de l'art. 429 al. 1 let. a CPP que les frais de défense relatifs à l'aspect pénal sont en principe mis à la charge de l'Etat, le législateur a prévu des correctifs pour des situations dans lesquelles la procédure est menée davantage dans l'intérêt de la partie plaignante ou lorsque cette dernière en a sciemment compliqué la mise en œuvre (cf. ATF 139 IV 45 c. 1.2). A cet égard,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Selon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Kuhn/Jeanneret [éd.], Commentaire romand, Code de procédure pénale suisse, 2011, n. 5 ad art. 427 CPP; Domeisen, in: Niggli/Heer/Wiprächtiger [éd.], Basler Kommentar, Schweizerische Strafprozess-ordnung, Jugendstrafprozessordnung, Bâle 2014, nn.</w:t>
      </w:r>
    </w:p>
    <w:p>
      <w:r>
        <w:rPr>
          <w:b/>
        </w:rPr>
        <w:t>E. 2.2</w:t>
      </w:r>
    </w:p>
    <w:p>
      <w:r>
        <w:t>Selon l’art. 177 CP, se rend coupable d’injure celui qui, de toute autre manière,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faits, le juge pourra exempter de toute peine les deux délinquants ou l’un d’eux (al. 3).</w:t>
      </w:r>
    </w:p>
    <w:p>
      <w:r>
        <w:rPr>
          <w:b/>
        </w:rPr>
        <w:t>E. 2.3</w:t>
      </w:r>
    </w:p>
    <w:p>
      <w:r>
        <w:t>En l’espèce, dans ses déterminations, l’avocat de A.J.________ et de B.J.________ se réfère tantôt aux propos de ses clients, tantôt à ses propres déterminations comme constituant une sorte de preuve. La Cour ne saurait cependant considérer que ces allégations auraient une telle valeur dès lors que A.L.________ a toujours contesté les accusations portées contre lui par B.J.________ et qu’aucun élément au dossier ne permet d’infirmer ses dénégations. Certes, le témoignage de A.J.________ ne plaide pas en faveur de A.L.________, mais sa valeur probante est sujette à caution au vu notamment du lien qui l’unit à B.J.________ et de son implication personnelle dans cette affaire. Le témoignage de [...] est plus utile puisque, alors qu’il se trouvait dans son jardin, il a entendu B.J.________ traiter A.L.________ ou son épouse de « bande de trou du cul » ou « d’espèce de trou du cul », et non l’inverse. Ce témoignage disculpe A.L.________, sans qu’il soit déterminant de savoir si le témoin [...] était éloigné de 10 mètres ou de 40 mètres, puisqu’il a entendu les propos. Le raisonnement des recourants consistant à soutenir qu’au vu de la disposition des lieux et des parties, [...] ne pouvait pas entendre l’altercation – ce dernier se serait trouvé à 40 mètres du lieu où les injures auraient été proférées, la maison de B.J.________ ferait écran, et sa haie de sapins serait à même de briser ou de distordre les ondes sonores –  tombe à faux. En effet, si tel était bien le cas, cela ne ferait que confirmer l’opportunité du classement en faveur de A.L.________, sans qu’il soit nécessaire ici d’examiner si la condamnation de B.J.________ est quant à elle justifiée, celui-ci plaidant sa propre cause devant la fausse autorité, soit l’autorité de recours en matière de classement. Quant à poursuivre [...] pour faux témoignage, libre aux recourants de déposer plainte de ce chef, ce qu’ils n’ont d’ailleurs pas fait à ce jour. Que B.J.________ et A.J.________ aient un intérêt ou non au renvoi de leur contradicteur devant l’autorité de jugement importe peu, puisqu’il n’y a clairement aucun élément à charge et qu’aucune mesure d’enquête ne serait en mesure d’appuyer la version des plaignants, les propos des parties étant irrémédiablement contradictoires. En l’absence de doute, le principe in dubio pro duriore ne trouve pas application. Par ailleurs, l’ordonnance de classement est suffisamment motivée et l’argumentation des recourants consistant à soutenir que les prévenus devaient obligatoirement être entendus avant une telle ordonnance ne s’appuie sur aucune base légale et n’est pas pertinent. En conséquence, l’ordonnance de classement doit être confirmée sur ce point.</w:t>
      </w:r>
    </w:p>
    <w:p>
      <w:r>
        <w:rPr>
          <w:b/>
        </w:rPr>
        <w:t>E. 3.1</w:t>
      </w:r>
    </w:p>
    <w:p>
      <w:r>
        <w:t>Les recourants soutiennent ensuite que les prévenus se seraient rendus coupables de diffamation pour les propos rapportés ci-dessus (cf. lettre A.b supra), soit notamment pour avoir mentionné des « travaux illicites » et des « engagements non tenus ».</w:t>
      </w:r>
    </w:p>
    <w:p>
      <w:r>
        <w:rPr>
          <w:b/>
        </w:rPr>
        <w:t>E. 3.2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ATF 132 IV 112 c. 2.1; ATF 128 IV 53 c. 1a).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 2.1.3). Les parties à un procès qui se limitent à ce qui est nécessaire et pertinent, sans recourir à des formules inutilement blessantes, ne tombent pas sous le coup de l’art. 173 CP (ATF 116 IV 211, JT 1992 IV 83). L’avocat qui utilise le terme « pas légal » en plaidoirie, terme justifié par le mandat de la cause, ne tombe pas non plus sous le coup de cette infraction (ATF 131 IV 154, JT 2007 IV 3).</w:t>
      </w:r>
    </w:p>
    <w:p>
      <w:r>
        <w:rPr>
          <w:b/>
        </w:rPr>
        <w:t>E. 3.3</w:t>
      </w:r>
    </w:p>
    <w:p>
      <w:r>
        <w:t>En l’espèce, il s’agit d’un conflit de voisinage qui a débouché sur des actions civiles en relation avec le bornage. On voit dès lors mal comment il pourrait être possible de se plaindre d’un problème de limites, sans alléguer l’illicéité de certains travaux ou le fait que des engagements n’auraient pas été tenus. Dans le cas contraire, il serait tout simplement impossible d’alléguer les faits objet du litige. Ainsi faut-il rappeler que le sens à donner à l’allégation doit être apprécié objectivement, selon le sens que le destinataire non prévenu doit lui attribuer dans les circonstances d’espèce. Les propos tenus par A.L.________ et B.L.________ ne sont pas des formules inutilement blessantes, et les termes utilisés n’ont rien de répréhensibles. Partant, l’ordonnance de classement doit également être confirmée sur ce point. III. Recours de B.L.________ et de A.L.________. 1.</w:t>
      </w:r>
    </w:p>
    <w:p>
      <w:r>
        <w:rPr>
          <w:b/>
        </w:rPr>
        <w:t>E. 8</w:t>
      </w:r>
    </w:p>
    <w:p>
      <w:r>
        <w:t>à 12 ad art. 427 CPP; Griesser, in: Donatsch/ 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