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122 vom 9. Februar 2015</w:t>
      </w:r>
    </w:p>
    <w:p>
      <w:r>
        <w:t>VD Tribunal cantonal, 2015-02-09, FR</w:t>
      </w:r>
    </w:p>
    <w:p>
      <w:r>
        <w:rPr>
          <w:b/>
        </w:rPr>
        <w:t xml:space="preserve">Quelle: </w:t>
      </w:r>
      <w:r>
        <w:t>https://mcp.opencaselaw.ch/entscheid/vd_findinfo_D_cision___2015___122</w:t>
      </w:r>
    </w:p>
    <w:p>
      <w:r>
        <w:t>FR: VD_FINDINFO Décision / 2015 / 122 du 9 février 2015</w:t>
      </w:r>
    </w:p>
    <w:p>
      <w:r>
        <w:t>IT: VD_FINDINFO Décision / 2015 / 122 del 9 febbraio 2015</w:t>
      </w:r>
    </w:p>
    <w:p>
      <w:pPr>
        <w:pStyle w:val="Heading2"/>
      </w:pPr>
      <w:r>
        <w:t>Regeste</w:t>
      </w:r>
    </w:p>
    <w:p>
      <w:r>
        <w:t>NON-LIEU, CONCURRENCE DÉLOYALE, LOI FÉDÉRALE CONTRE LA CONCURRENCE DÉLOYALE, DROIT D'AUTEUR ET DROITS VOISINS |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les parties plaignantes, qui ont la qualité pour recourir contre une ordonnance classant leurs plaintes (cf. art. 382 al. 1 CPP; CREP 26 janvier 2015/56 c. 1; CREP 19 novembre 2014/828 c. 1),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En l’espèce, les recourantes distinguent, pour partie, leurs moyens afférents à la plainte du 26 mai 2010 (recours, ch. IV.A, 1-49) de ceux relatifs à celle du 5 octobre 2011 (recours, ch. IV.B, 50-81). Quant à la première plainte, les recourantes allèguent que le contrat de maintenance liant [...] à [...] (devenue B.________), daté du 10 novembre 2006 et qui serait annexé à la convention de cession d’actions, contiendrait une mention manuscrite signée par J.________ spécifiant que B.________ détiendrait l’exclusivité en Suisse des produits [...] et que cette exclusivité était fondée sur la parole. Les recourantes se réfèrent au dossier A,        P. 5/5. Or, s’il y a effectivement une mention manuscrite sur la première page de ce document, apparemment signée par J.________, cette inscription est illisible. Pour ce qui est de leur seconde plainte, les recourantes allèguent que B.________ aurait perdu 14 clients depuis sa création. Elles en fournissent une liste par raisons sociales (recours, ch. 66). Toutefois, la pièce sur laquelle cette liste se fonde, à savoir un document de [...] (dossier joint B, P. 6/5), ne le démontre pas. En effet, d’une part, on ignore quels étaient les clients de B.________ et, d’autre part, les deux listes ne sont pas identiques. Aucune pièce au dossier n’étaye la perte de clientèle alléguée. Il est seulement établi que [...], [...], [...] et [...] (mentionnées sous ch. 66 déjà cité) ont résilié fin 2011 le contrat de maintenance [...] qui les liait à B.________, et ce pour différents motifs (dossier joint B, P.6/6 à 9). Les recourantes soutiennent que, pour procéder aux indispensables travaux de maintenance et aux modifications requises par les clients, [...] n’avait eu d’autre choix que de se procurer et de modifier les codes sources des modules Suisse et comptabilité propriétés de B.________, violant ce faisant la loi sur le droit d’auteur au sens de l’art. 67 al. 2 LDA. En pages 14 à 17 de leur acte de recours, les plaignantes mettent en avant, sans davantage de références à des pièces, des éléments de faits de manière unilatérale et insuffisamment étayée. On retiendra bien plutôt les investigations de police et les faits établis par l’ordonnance de mesures provisionnelles rendue par le juge civil (cf. ci-dessous).</w:t>
      </w:r>
    </w:p>
    <w:p>
      <w:r>
        <w:rPr>
          <w:b/>
        </w:rPr>
        <w:t>E. 2.3</w:t>
      </w:r>
    </w:p>
    <w:p>
      <w:r>
        <w:t>Cela étant il a y lieu de statuer sur les moyens du recours relatifs à la qualification des actes incriminés au vu du pouvoir d’appréciation découlant de l’art. 319 al. 1 CPP, singulièrement les let. a et b de cette disposition, seules appliquées par la Procureure. En bref, les recourantes estiment que les faits allégués seraient suffisants pour renvoyer les prévenus en jugement pour les diverses infractions qu’elles tiennent pour avérées pour les différents intimés concernés. Elles requièrent au surplus de nombreuses mesures d’instruction, séparément désignées. Les faits incriminés doivent être successivement examinés en relation avec les diverses dispositions pénales invoquées par les recourantes.</w:t>
      </w:r>
    </w:p>
    <w:p>
      <w:r>
        <w:rPr>
          <w:b/>
        </w:rPr>
        <w:t>E. 2.4</w:t>
      </w:r>
    </w:p>
    <w:p>
      <w:r>
        <w:t>Pour ce qui est d’abord de l’escroquerie, réprimée par l’art. 146 CP (Code pénal; RS 311.0), on peut relever que, si les recourantes concluent au renvoi de J.________ et G.________ pour répondre de cette infraction, elles ne plaident pas même, ni a fortiori ne démontrent, dans l’acte de recours, que les éléments constitutifs de cette infraction seraient réalisés en ce qui concerne ces prévenus. Cela ne ressort d’ailleurs pas de l’instruction. Le classement doit donc être sans autre confirmé sur ce chef d’accusation.</w:t>
      </w:r>
    </w:p>
    <w:p>
      <w:r>
        <w:rPr>
          <w:b/>
        </w:rPr>
        <w:t>E. 2.5</w:t>
      </w:r>
    </w:p>
    <w:p>
      <w:r>
        <w:t>La recourante invoque la protection du droit d’auteur.</w:t>
      </w:r>
    </w:p>
    <w:p>
      <w:r>
        <w:rPr>
          <w:b/>
        </w:rPr>
        <w:t>E. 2.5.1</w:t>
      </w:r>
    </w:p>
    <w:p>
      <w:r>
        <w:t>L’art. 67 al. 1 let. c, d, e et f de la loi sur les droits d’auteur et les droits voisins (LDA; RS 231.1), dont se prévalent les recourantes, prévoit que, sur plainte du lésé, est puni d'une peine privative de liberté d'un an au plus ou d'une peine pécuniaire quiconque, intentionnellement et sans droit, « modifie une œuvre »      (let. c), « utilise une œuvre pour créer une œuvre dérivée » (let. d), « confectionne des exemplaires d’une œuvre par n’importe quel procédé » (let. e) ou « propose au public, aliène ou, de quelque autre manière, met en circulation des exemplaires d’une œuvre » (let. f). Aux termes de son art. 1 al. 1 let a, la LDA règle « la protection des auteurs d’œuvres littéraires et artistiques ». Selon l’art. 2 al. 3 LDA, « [l]es programmes d’ordinateurs (logiciels) sont également considérés comme des œuvres ». L’art. 6 LDA définit la qualité d’auteur en disposant que, « [p]ar auteur, on entend la personne physique qui a créé l’œuvre ». Il en découle, a contrario, qu’une personne morale ne peut, en principe, revêtir la qualité d’auteur au sens légal. L’art. 17 LDA prévoit toutefois une exception au principe ci-dessus pour les logiciels créés par des travailleurs, en disposant que « [l]'employeur est seul autorisé à exercer les droits exclusifs d'utilisation sur le logiciel créé par le travailleur dans l'exercice de son activité au service de l'employeur et conformément à ses obligations contractuelle». Il s’ensuit qu’en matière de logiciels, des personnes morales, comme les plaignantes et recourantes, peuvent avoir la qualité d’auteurs et, partant, être protégées par la LDA. L’art. 17 LDA ne s’applique toutefois pas à des programmes créés par des personnes hors d’un contrat de travail, comme par exemple des développeurs indépendants. De plus, l’application de cette disposition suppose que le logiciel soit créé par le travailleur dans l’exercice de son activité au service de l’employeur et conformément à ses obligations contractuelles (de Werra, in : de Werra/Gilliéron [éd.], Propriété intellectuelle, Commentaire Romand, Bâle 2013, nn. 8 ss, ad art. 17 LDA).</w:t>
      </w:r>
    </w:p>
    <w:p>
      <w:r>
        <w:rPr>
          <w:b/>
        </w:rPr>
        <w:t>E. 2.5.2</w:t>
      </w:r>
    </w:p>
    <w:p>
      <w:r>
        <w:t>En l’espèce, les recourantes ne démontrent pas qu’elles seraient titulaires de droits d’auteur. Ainsi, les droits de propriété intellectuelle sur le logiciel [...] appartiennent à la société française [...], dont les prévenus J.________ et G.________ étaient les actionnaires et administrateurs. A cet égard, la clause d’exclusivité de la distribution par B.________ sur le territoire suisse de [...], dont les recourantes se prévalent, n’est pas suffisamment établie pour considérer qu’elle emporte transfert des droits d’auteur sur [...] dont les recourantes pourraient se prévaloir. En effet, seul un accord oral a été évoqué, dont on ignore tout du contenu et de la portée. Au surplus, G.________ soutient à ce sujet, sans être sérieusement contredit, qu’il a de toute manière pris fin au moment du rachat des actions de B.________ par T.________ le 21 septembre 2007. Les plaignantes et recourantes ne peuvent par conséquent pas se prévaloir de l’art. 67 LDA. Les mesures d’instruction requises, qui visent à déterminer l’activité exacte d’ [...], sont, partant, dépourvues de pertinence. Le classement doit donc être confirmé sur ce point.</w:t>
      </w:r>
    </w:p>
    <w:p>
      <w:r>
        <w:rPr>
          <w:b/>
        </w:rPr>
        <w:t>E. 2.6</w:t>
      </w:r>
    </w:p>
    <w:p>
      <w:r>
        <w:t>Les recourantes se réclament ensuite de la loi sur la concurrence déloyale (LCD; RS 241). L’art. 5 let. c LCD prévoit qu’agit de façon déloyale celui qui,notamment, « reprend grâce à des procédés techniques de reproduction et sans sacrifice correspondant le résultat de travail d'un tiers prêt à être mis sur le marché et l'exploite comme tel ». L’art. 23 LCD sanctionne pénalement la violation intentionnelle de l’art. 5 LCD, notamment. En l’espèce, il est reproché aux prévenus d’avoir effectué des travaux de maintenance sur le logiciel [...] chez des anciens clients des recourantes. Ils ont trouvé les logiciels sources chez les clients et ne les ont pas recopiés lorsqu’ils travaillaient pour les recourantes. On ne voit donc pas qu’ils aient repris, par des procédés techniques de reproduction, le résultat du travail d’un tiers au sans de l’art. 5 let. c LCD. De plus et surtout, le produit [...] n’est pas un logiciel prêt à être mis sur le marché. Bien plutôt, il s’agit d’un produit vieux de plusieurs années et en fin de vie, dont, du reste, les recourantes se désintéressaient et n’arrivaient pas à assurer la maintenance, ainsi que cela résulte de l’ordonnance de mesures provisionnelles du 28 février 2011. Aucun comportement délictueux du chef de l’art 5 let. c LCD ne peut être reproché aux prévenus. Partant, les mesures d’instruction complémentaires requises sont sans pertinence. Le classement doit donc être confirmé sur ce point également.</w:t>
      </w:r>
    </w:p>
    <w:p>
      <w:r>
        <w:rPr>
          <w:b/>
        </w:rPr>
        <w:t>E. 2.7</w:t>
      </w:r>
    </w:p>
    <w:p>
      <w:r>
        <w:t>Les recourantes se réclament enfin de l’infraction de gestion déloyale, réprimée par l’art. 158 CP, dont elles considèrent que seul J.________ se serait rendu coupable. Elles soutiennent qu’en vertu du contrat de « sous-traitance commerciale » conclu le 21 septembre 2007 entre B.________ et ce prévenu, l’intéressé était tenu de gérer les intérêts pécuniaires de la société et, en tout cas, de veiller sur leur gestion. Le premier élément constitutif objectif de l’infraction de gestion déloyale est que l’auteur doit revêtir la qualité de gérant. Il s’agit d’une personne à qui incombe, de fait ou formellement, la responsabilité d’administrer pour le compte d’un tiers des intérêts pécuniaires revêtant une certaine importance. La qualité de gérant suppose en outre un degré d’indépendance suffisant et un pouvoir de disposition autonome sur les biens administrés, les moyens de production ou le personnel de l’entreprise (Dupuis/Geller/Monnier/Moreillon/Piguet/Bettex/Stoll [éd.], Petit commen-taire CP, Bâle 2012, n. 7 ad art. 158 CP et les arrêts cités). En l’espèce, les éléments essentiels du contrat du 21 septembre 2007 sont les suivants : le mandat consiste à négocier et conclure des contrats, et assurer leur suivi, au nom et pour le compte de l’entreprise, dans une perspective de développement; J.________ est payé à la commission; il n’a pas le droit d’accepter des paiements; il doit se conformer à l’organisation administrative, commerciale et technique de l’entreprise; il a une obligation d’exclusivité; il est soumis à une clause de non-concurrence. En revanche, sont notamment exclus du périmètre contractuel : la gestion opérationnelle des projets, la gestion et le suivi des différentes équipes et les décisions financières sur les méthodes de facturation. Il découle de ce contrat que le rôle de cet intimé n’est pas celui d’un gérant au sens de l’art. 158 CP, mais celui d’un simple acquisiteur de clientèle qui n’a pas de pouvoir de disposition sur les biens de la société, ses moyens de production ou son personnel. L’infraction de gestion déloyale n’est dès lors pas davantage réalisée.</w:t>
      </w:r>
    </w:p>
    <w:p>
      <w:r>
        <w:rPr>
          <w:b/>
        </w:rPr>
        <w:t>E. 2.8</w:t>
      </w:r>
    </w:p>
    <w:p>
      <w:r>
        <w:t>Au vu de ce qui précède, il n’apparaît pas que le comportement des différents intimés réalise les éléments constitutifs des infractions que leur reprochent les plaignantes. Pour chacun des prévenus, un acquittement apparaît ainsi nettement plus probable qu’une condamnation. L’ordonnance de classement rendue le 4 avril 2014 échappe ainsi à la critique.</w:t>
      </w:r>
    </w:p>
    <w:p>
      <w:r>
        <w:rPr>
          <w:b/>
        </w:rPr>
        <w:t>E. 3.1</w:t>
      </w:r>
    </w:p>
    <w:p>
      <w:r>
        <w:t>Il résulte de ce qui précède que le recours doit être rejeté et l'ordonnance attaquée confirmée.</w:t>
      </w:r>
    </w:p>
    <w:p>
      <w:r>
        <w:rPr>
          <w:b/>
        </w:rPr>
        <w:t>E. 3.2</w:t>
      </w:r>
    </w:p>
    <w:p>
      <w:r>
        <w:t>Les frais de la procédure de recours, constitués du seul émolument d'arrêt (art. 422 al. 1 CPP), par 1'980 fr. (art. 20 al. 1 TFIP [Tarif des frais judiciaires pénaux du 28 septembre 2010; RSV 312.03.1]), seront à la charge des recourantes B.________ et T.________, qui succombent (art. 428 al. 1 CPP), mis par moitié chacune solidairement entre elles (art. 428 al. 2 CPP).</w:t>
      </w:r>
    </w:p>
    <w:p>
      <w:r>
        <w:rPr>
          <w:b/>
        </w:rPr>
        <w:t>E. 3.3</w:t>
      </w:r>
    </w:p>
    <w:p>
      <w:r>
        <w:t>Enfin, les intimés G.________, S.________ et Q.________ ont conclu à l’allocation de dépens pour la procédure de recours. Ces parties, qui obtiennent entièrement gain de cause, ont agi par l’intermédiaire de conseils juridiques. L’art. 436 al. 1 CPP renvoie aux art. 429 à 434 CPP. En principe, les frais de défense relatifs à l’aspect pénal (art. 429 al. 1 let. a CPP) sont laissés à la charge de l’Etat (Message du Conseil fédéral relatif à l'unification du droit de la procédure pénale du 21 décembre 2005, FF 2006 pp. 1057 ss, spéc. 1313 et 1314).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encore que cette dernière en a sciemment compliqué la mise en œuvre, l’art. 432 al. 1 CPP permettant dans ce cas de mettre à la charge de la partie plaignante une juste indemnité pour les dépenses occasionnées par les conclusions civiles. Le Tribunal fédéral a jugé que, s’agissant d’une indemnité allouée dans une procédure d’appel, les dispositions applicables en vertu du renvoi de l’art. 436 al.1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dès lors dans une situation assimilable à celles prévues par l’art. 432 CPP dans la mesure où la poursuite de la procédure relève de la volonté exclusive de la partie plaignante. Il est donc conforme au système que, dans un tel cas, ce soit cette dernière qui assume les frais de défense du prévenu devant l’instance d’appel. Cette approche rejoint celle en matière de frais de recours au sens de l’art. 428 CPP (ATF 139 IV 45 cité in : Perrier Depeursinge, Code de procédure pénale suisse annoté, Bâle 2015, ad art. 432 CPP; CREP 12 décembre 2014/890 c. 4.3). En l’occurrence, les plaignantes se sont constituées demandereses au pénal et au civil. Même si elles n’ont pas formellement pris de conclusions civiles, il est clair qu’elles attendaient d’être dédommagées de leurs pertes par le recours déposé en matière pénale. Leurs prétentions civiles se confondent ainsi avec l’action pénale. Au regard de la jurisprudence citée plus haut, applicable au cas d’espèce, il y a donc lieu d’allouer aux trois intimés ayant été représentés par un mandataire professionnel (S.________ et Q.________ ayant procédé conjointement) une indemnité de dépens pour la procédure de recours, qui, au vu de l’ampleur et de la complexité de la cause, sera fixée à 2'800 fr. (8 heures à 350 fr.) pour G.________, d’une part, et pour S.________ et Q.________, solidairement entre eux, d’autre part, en plus d’un montant de 224 fr. correspondant à la TVA, soit à un total de 3'024 fr. (juge unique CREP 22 janvier 2014/45 c. 2.2 in fine et les autres arrêts cités). Conformément à l’art 432 al. 1 CPP, cette indemnité sera mise par moitié à la charge de B.________ et par moitié à la charge de T.________. Par ces motifs, la Chambre des recours pénale prononce : I. Le recours est rejeté. II. L’ordonnance du 4 avril 2014 est confirmée. III. Les frais d’arrêt, par 1'980 fr. (mille neuf cent huitante francs), sont mis par moitié, soit par 990 fr. (neuf cent nonante francs), à la charge de B.________ et par moitié, soit par 990 fr. (neuf cent nonante francs), à la charge de T.________, solidairement entre elles. IV. Un montant de 3'024 fr. (trois mille vingt-quatre francs) est alloué à G.________ à titre d’indemnité au sens de l’art. 429 al. 1 let. a CPP, pour la procédure de recours, par moitié, soit par 1'512 fr. (mille cinq cent douze francs), à la charge de B.________ et par moitié, soit par 1'512 fr. (mille cinq cent douze francs), à la charge de T.________. V. Un montant de 3'024 fr. (trois mille vingt-quatre francs) est alloué à S.________ et Q.________, solidairement entre eux, à titre d’indemnité au sens de l’art. 429 al. 1 let. a CPP, pour la procédure de recours, par moitié, soit par 1'512 fr. (mille cinq cent douze francs), à la charge de B.________ et par moitié, soit par 1'512 fr. (mille cinq cent douze francs), à la charge de T.________. VI. Le présent arrêt est exécutoire. Le président :               Le greffier : Du Le présent arrêt, dont la rédaction a été approuvée à huis clos, est notifié, par l'envoi d'une copie complète, à : - MM. Alexandre Reil et Julien Liechti, avocats (pour B.________ et T.________), - M. Manuel Isler, avocat (pour G.________), - M. Marc Cheseaux, avocat (pour S.________ et Q.________), - M.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