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121 vom 10. Februar 2015</w:t>
      </w:r>
    </w:p>
    <w:p>
      <w:r>
        <w:t>VD Tribunal cantonal, 2015-02-10, FR</w:t>
      </w:r>
    </w:p>
    <w:p>
      <w:r>
        <w:rPr>
          <w:b/>
        </w:rPr>
        <w:t xml:space="preserve">Quelle: </w:t>
      </w:r>
      <w:r>
        <w:t>https://mcp.opencaselaw.ch/entscheid/vd_findinfo_D_cision___2015___121</w:t>
      </w:r>
    </w:p>
    <w:p>
      <w:r>
        <w:t>FR: VD_FINDINFO Décision / 2015 / 121 du 10 février 2015</w:t>
      </w:r>
    </w:p>
    <w:p>
      <w:r>
        <w:t>IT: VD_FINDINFO Décision / 2015 / 121 del 10 febbraio 2015</w:t>
      </w:r>
    </w:p>
    <w:p>
      <w:pPr>
        <w:pStyle w:val="Heading2"/>
      </w:pPr>
      <w:r>
        <w:t>Regeste</w:t>
      </w:r>
    </w:p>
    <w:p>
      <w:r>
        <w:t>SUSPENSION DE LA PROCÉDURE, CURATEUR, ADMISSION DE LA DEMANDE, QUALITÉ POUR AGIR ET RECOURIR | 106 al. 2 CPP (CH), 314 al. 1 let. b CPP (CH)</w:t>
      </w:r>
    </w:p>
    <w:p>
      <w:pPr>
        <w:pStyle w:val="Heading2"/>
      </w:pPr>
      <w:r>
        <w:t>Erwägungen</w:t>
      </w:r>
    </w:p>
    <w:p>
      <w:r>
        <w:rPr>
          <w:b/>
        </w:rPr>
        <w:t>E. 1.1</w:t>
      </w:r>
    </w:p>
    <w:p>
      <w:r>
        <w:t>Les parties peuvent attaquer une ordonnance de suspension rendue par le Ministère public (cf. art. 393 al. 1 let. a et 314 al. 5 CPP [Code de procédure pénale suisse du 5 octobre 2007, RS 312.0] qui renvoie aux art. 320 ss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6 octobre 2014/731 c. 1.1; CREP 16 janvier 2013/67 c. 1).</w:t>
      </w:r>
    </w:p>
    <w:p>
      <w:r>
        <w:rPr>
          <w:b/>
        </w:rPr>
        <w:t>E. 1.2</w:t>
      </w:r>
    </w:p>
    <w:p>
      <w:r>
        <w:t>Un individu sous curatelle de portée générale est privé de l’exercice des droits civils (art. 398 CC).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w:t>
      </w:r>
    </w:p>
    <w:p>
      <w:r>
        <w:rPr>
          <w:b/>
        </w:rPr>
        <w:t>E. 1.3</w:t>
      </w:r>
    </w:p>
    <w:p>
      <w:r>
        <w:t>En l'espèce, E.T.________ est sous curatelle de portée générale et ne peut agir et recourir en personne puisqu'il est incapable de discernement (P. 7 et 14). On comprend à la lecture de la plainte pénale du 19 août 2014 que A.T.________ agit pour le compte de son père E.T.________ en sa qualité de curateur. C'est dès lors E.T.________ qui devrait figurer au dossier comme partie plaignante. L'autorisation de plaider et transiger, respectivement de consulter un mandataire professionnel, au sens de l'art. 416 al. 1 ch. 9 CC, au nom d'E.T.________, a certes été délivrée par la Justice de paix du district de la Riviera-Pays d'Enhaut postérieurement au dépôt du recours. Toutefois, cette autorisation a un effet réparateur (cf. Biderbost, in: Leuba/Stettler/Büchler/Häfeli, Protection de l'adulte, 2013, n. 35 ad art. 416 CC), si bien que le recours doit être considéré comme déposé par E.T.________, lequel est représenté par son curateur A.T.________. Partant, interjeté en temps utile (art. 396 al. 1 CPP) contre une décision du Ministère public (art. 393 al. 1 let. a CPP), par le curateur de la partie plaignante qui a qualité pour recourir (art. 382 al. 1 CPP) au nom de cette dernière, le recours est recevable.</w:t>
      </w:r>
    </w:p>
    <w:p>
      <w:r>
        <w:rPr>
          <w:b/>
        </w:rPr>
        <w:t>E. 2.1</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in: Kuhn/Jeanneret [éd.], Commentaire romand, Code de procédure pénale suisse, Bâle 2011, n. 13 ad art. 314 CPP). En outre, comme l’expose la jurisprudence constante du Tribunal fédéral, la suspension d’une procédure ne doit être admise qu’à titre exceptionnel, le principe de la célérité devant primer en cas de doute (TF 1B_67/2011 du 13 avril 2011 c. 4.1). Selon l’art. 314 al. 3 CPP, le Ministère public administre les preuves dont il est craindre qu’elles disparaissent avant de décider la suspension. Il convient en d’autres termes de procéder dans le mesure du raisonnable à l’administration des preuves utiles et disponibles sans attendre indéfiniment alors qu’aucun obstacle ne s’oppose à l’administration de la preuve (Cornu, op. cit., n. 21 ad art. 314 CPP).</w:t>
      </w:r>
    </w:p>
    <w:p>
      <w:r>
        <w:rPr>
          <w:b/>
        </w:rPr>
        <w:t>E. 2.2</w:t>
      </w:r>
    </w:p>
    <w:p>
      <w:r>
        <w:t>En l'espèce, comme le relève à juste titre le recourant, les deux procédures pénales concernent en partie un même complexe de faits, à savoir la vente de la Lamborghini Miura. On ne voit dès lors pas en quoi il serait opportun de suspendre la présente cause et d'attendre l'issue de la procédure pénale dirigée contre F.________. Au contraire, il y a lieu d'instruire ces deux procédures simultanément, dans la mesure où les faits reprochés sont en partie identique pour chaque prévenu. Une suspension de procédure compliquerait ainsi inutilement l’administration des preuves. Par conséquent, c’est à tort que le Procureur de l’arrondissement de l’Est vaudois a rendu une ordonnance de suspension.</w:t>
      </w:r>
    </w:p>
    <w:p>
      <w:r>
        <w:rPr>
          <w:b/>
        </w:rPr>
        <w:t>E. 3</w:t>
      </w:r>
    </w:p>
    <w:p>
      <w:r>
        <w:t>En définitive, le recours doit être admis, sans qu’il soit nécessaire d’examiner les autres griefs soulevés par le recourant. L’ordonnance de suspension du 12 septembre 2014 doit être annulée et le dossier de la cause renvoyé au Ministère public pour qu’il en poursuive l’instruction. Les frais de la procédure de recours, constitués du seul émolument d'arrêt, par 660 fr. (art. 20 al. 1 TFIP [Tarif des frais de procédure et indemnités en matière pénale du 28 septembre 2010, RSV 312.03.1]), seront mis à la charge d'U.________, qui a conclu au rejet du recours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12 septembre 2014 est annulée. III. Le dossier de la cause est renvoyé au Ministère public pour qu’il procède dans le sens des considérants. IV. Les frais d'arrêt, par 660 fr. (six cent soixante francs), sont mis à la charge d'U.________. V. Le présent arrêt est exécutoire. Le président :               La greffière : Du Le présent arrêt, dont la rédaction a été approuvée à huis clos, est notifié, par l'envoi d'une copie complète, à : - M. Cédric Aguet (pour E.T.________, représenté par A.T.________), - M. Christophe A. Gal, avocat (pour U.________), - M. K.________, - M. 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