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119 vom 25. November 2014</w:t>
      </w:r>
    </w:p>
    <w:p>
      <w:r>
        <w:t>VD Tribunal cantonal, 2014-11-25, FR</w:t>
      </w:r>
    </w:p>
    <w:p>
      <w:r>
        <w:rPr>
          <w:b/>
        </w:rPr>
        <w:t xml:space="preserve">Quelle: </w:t>
      </w:r>
      <w:r>
        <w:t>https://mcp.opencaselaw.ch/entscheid/vd_findinfo_D_cision___2015___119</w:t>
      </w:r>
    </w:p>
    <w:p>
      <w:r>
        <w:t>FR: VD_FINDINFO Décision / 2015 / 119 du 25 novembre 2014</w:t>
      </w:r>
    </w:p>
    <w:p>
      <w:r>
        <w:t>IT: VD_FINDINFO Décision / 2015 / 119 del 25 novembre 2014</w:t>
      </w:r>
    </w:p>
    <w:p>
      <w:pPr>
        <w:pStyle w:val="Heading2"/>
      </w:pPr>
      <w:r>
        <w:t>Regeste</w:t>
      </w:r>
    </w:p>
    <w:p>
      <w:r>
        <w:t>DÉFAUT{CONTUMACE}, RETRAIT{VOIE DE DROIT}, OPPOSITION{PROCÉDURE}, ORDONNANCE DE CONDAMNATION, EXCUSABILITÉ | 355 al. 2 CPP (CH)</w:t>
      </w:r>
    </w:p>
    <w:p>
      <w:pPr>
        <w:pStyle w:val="Heading2"/>
      </w:pPr>
      <w:r>
        <w:t>Erwägungen</w:t>
      </w:r>
    </w:p>
    <w:p>
      <w:r>
        <w:rPr>
          <w:b/>
        </w:rPr>
        <w:t>E. 1</w:t>
      </w:r>
    </w:p>
    <w:p>
      <w:r>
        <w:t>er mai 2014/314).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Selon l'art. 91 CPP, un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En l'espèce, le courrier du 19 novembre 2014 par lequel le recourant a indiqué que son acte du 6 novembre 2014 constituait un recours a été remis à la poste postérieurement à l'expiration du délai imparti par le Ministère public, de sorte qu'il est douteux que le recours soit recevable. Cela étant, cette question peut rester indécise, dès lors que, supposé recevable, le recours doit de toute manière être rejeté pour les motifs exposés ci-après.</w:t>
      </w:r>
    </w:p>
    <w:p>
      <w:r>
        <w:rPr>
          <w:b/>
        </w:rPr>
        <w:t>E. 2.1</w:t>
      </w:r>
    </w:p>
    <w:p>
      <w:r>
        <w:t>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Le défaut peut donc, en vertu de l'art. 355 al. 2 CPP, aboutir à une perte de toute protection juridique, nonobstant le fait que l'opposant ait précisément voulu une telle protection en formant opposition (ATF 140 IV 82 c. 2.4; TF 6B_1122/2013 du 6 mai 2014 c. 1.1). Ainsi, et pour autant que les conséquences du défaut aient été dûment portées à la connaissance de l’opposant lors de la citation à comparaître (cf. art. 201 al. 2 let. f CPP), dont l'opposant doit avoir eu une connaissance effective, et que la décision prenant acte du retrait de l’opposition comporte l’indication de la voie de droit et du délai de recours (cf. art. 81 al. 1 let. d CPP), le défaut de l’opposant à l’audience a un effet péremptoire sur ses droits (ATF 140 IV 82 c. 2.5; TF 6B_471/2014 du 18 novembre 2014 c. 1.2).</w:t>
      </w:r>
    </w:p>
    <w:p>
      <w:r>
        <w:rPr>
          <w:b/>
        </w:rPr>
        <w:t>E. 2.2</w:t>
      </w:r>
    </w:p>
    <w:p>
      <w:r>
        <w:t>En l'espèce, le recourant a fait défaut à l'audience du 29 octobre 2014, alors qu'il avait été régulièrement cité à comparaître à celle-ci et que son attention avait été expressément attirée sur les conséquences d'un défaut non excusé. Dans ses actes des 6 et 19 novembre 2014, le recourant ne fait cependant valoir aucune excuse valable, en se bornant à expliquer qu'il avait "complètement oublié" la tenue de l'audience devant le Ministère public. C'est dès lors à juste titre que le Ministère public a considéré qu'en application de l'art. 355 al. 2 CPP, l'opposition devait être considérée comme retirée.</w:t>
      </w:r>
    </w:p>
    <w:p>
      <w:r>
        <w:rPr>
          <w:b/>
        </w:rPr>
        <w:t>E. 3</w:t>
      </w:r>
    </w:p>
    <w:p>
      <w:r>
        <w:t>En définitive, le recours doit être rejeté dans la mesure où il est recevable (cf. c. 1 supra), sans autre échange d'écritures (art. 390 al. 2 CPP), et l’ordonnance attaquée confirmée.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30 octobre 2014 est confirmée. III. Les frais de la procédure de recours, par 550 fr. (cinq cent cinquante francs), sont mis à la charge de C.________. IV. Le présent arrêt est exécutoire. Le président :               Le greffier : Du Le présent arrêt, dont la rédaction a été approuvée à huis clos, est notifié, par l'envoi d'une copie complète, à : - M.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