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117 vom 21. Januar 2015</w:t>
      </w:r>
    </w:p>
    <w:p>
      <w:r>
        <w:t>VD Tribunal cantonal, 2015-01-21, FR</w:t>
      </w:r>
    </w:p>
    <w:p>
      <w:r>
        <w:rPr>
          <w:b/>
        </w:rPr>
        <w:t xml:space="preserve">Quelle: </w:t>
      </w:r>
      <w:r>
        <w:t>https://mcp.opencaselaw.ch/entscheid/vd_findinfo_D_cision___2015___117</w:t>
      </w:r>
    </w:p>
    <w:p>
      <w:r>
        <w:t>FR: VD_FINDINFO Décision / 2015 / 117 du 21 janvier 2015</w:t>
      </w:r>
    </w:p>
    <w:p>
      <w:r>
        <w:t>IT: VD_FINDINFO Décision / 2015 / 117 del 21 gennaio 2015</w:t>
      </w:r>
    </w:p>
    <w:p>
      <w:pPr>
        <w:pStyle w:val="Heading2"/>
      </w:pPr>
      <w:r>
        <w:t>Regeste</w:t>
      </w:r>
    </w:p>
    <w:p>
      <w:r>
        <w:t>EXÉCUTION PAR SUBSTITUTION{SANCTION}, CITATION À COMPARAÎTRE, ORDONNANCE DE CONDAMNATION, OPPOSITION{PROCÉDURE}, ABSENCE, DÉCISION JUDICIAIRE ULTÉRIEURE INDÉPENDANTE | 36 CP, 205 CPP (CH), 355 al. 2 CPP (CH), 363 CPP (CH), 393 CPP (CH)</w:t>
      </w:r>
    </w:p>
    <w:p>
      <w:pPr>
        <w:pStyle w:val="Heading2"/>
      </w:pPr>
      <w:r>
        <w:t>Erwägungen</w:t>
      </w:r>
    </w:p>
    <w:p>
      <w:r>
        <w:rPr>
          <w:b/>
        </w:rPr>
        <w:t>E. 1</w:t>
      </w:r>
    </w:p>
    <w:p>
      <w:r>
        <w:t>Dans la mesure où le présent arrêt soulève une question de principe, il a été décidé de statuer à cinq juges, en application des art. 67 al. 1 let. i LOJV (loi d’organisation judiciaire; RSV 173.01) et 12 al. 3 ROTC (règlement organique du Tribunal cantonal; RSV 173.31.1).</w:t>
      </w:r>
    </w:p>
    <w:p>
      <w:r>
        <w:rPr>
          <w:b/>
        </w:rPr>
        <w:t>E. 2</w:t>
      </w:r>
    </w:p>
    <w:p>
      <w:r>
        <w:t>e éd., Bâle 2014 , n. 9 ad art. 363 CPP). L’opposition doit être formée auprès de l’autorité qui a statué, soit en l’espèce l’autorité compétente en matière de contraventions, qui doit procéder selon l’art. 355 CPP. C’est ce qu’a fait le préfet en rendant l’ordonnance entreprise dans laquelle, en application de l’art. 355 al. 2 CPP, il a pris acte du retrait de l’opposition et a déclaré exécutoire l’ordonnance pénale du 11 juillet 2014. Or, une décision fondée sur l’art. 355 al. 2 CPP est susceptible de recours au sens des art. 393 ss CPP (Riklin, in : Niggli/Heer/Wiprächtiger (éd.), op. cit., n. 2 ad art. 355 CPP et les réf. cit.; Schwarzenegger, in: Donatsch/Hansjakob/Lieber (éd.), Kommentar zur Schweizerischen Strafprozessordnung, 2 e éd., 2014, n. 2 ad art. 355 CPP; CREP 13 novembre 2013/820 c. 1a).</w:t>
      </w:r>
    </w:p>
    <w:p>
      <w:r>
        <w:rPr>
          <w:b/>
        </w:rPr>
        <w:t>E. 2.1</w:t>
      </w:r>
    </w:p>
    <w:p>
      <w:r>
        <w:t>L’ordonnance rendue le 11 juillet 2014 par le préfet, qui ordonne une peine privative de liberté de substitution (art. 36 CP), est une décision judiciaire ultérieure indépendante au sens de l’art. 363 CPP (Message relatif à l’unification du droit de la procédure pénale du 21 décembre 2005, FF 2006 pp. 1057 ss, spéc. p. 1282; Moreillon/Parein-Reymond, Code de procédure pénale, Petit commentaire, Bâle 2013, n. 6 ad art. 363 CPP). Les décisions judiciaires indépendantes rendues par l’autorité compétente en matière de contraventions revêtent la forme d’ordonnances pénales (Moreillon/Parein-Reymond, op. cit., n. 8 ad art. 363 CPP et la réf. cit.). Ces ordonnances peuvent être frappées d’opposition (Perrin, in: Kuhn/Jeanneret (éd.), Commentaire romand, Code de procédure pénale suisse, Bâle 2011, n. 20 ad art. 363 CPP, p. 1627, et la réf. cit.; Schmid, Schweizerische Strafprozessordnung, Praxiskommentar, 2 e éd. Zurich/St-Gall 2013, n. 4 ad art. 363 CPP; Heer, in: Niggli/Heer/Wiprächtiger [éd.], Basler Kommentar, Schweizerische Strafprozessordnung, Jugendstrafprozess-ordnung,</w:t>
      </w:r>
    </w:p>
    <w:p>
      <w:r>
        <w:rPr>
          <w:b/>
        </w:rPr>
        <w:t>E. 2.2</w:t>
      </w:r>
    </w:p>
    <w:p>
      <w:r>
        <w:t>Le recours s’exerce auprès de l’autorité de recours (cf. art. 20 al. 1 let. b CPP), qui dans le canton de Vaud est la Chambre des recours pénale du Tribunal cantonal (art. 13 LVCPP [loi d’introduction du code de procédure pénale suisse; RSV 312.01]; art. 80 LOJV). Le recours doit être adressé par écrit, dans un délai de dix jours dès la notification de la décision attaquée (cf. art. 384 let. b CPP), à l’autorité de recours (art. 396 al. 1 CPP). En l’espèce, le recours, déposé en temps utile et dans les formes prescrites, devant l’autorité compétente, par M.________ qui a un intérêt juridique à l’annulation ou à la modification de la décision, est recevable.</w:t>
      </w:r>
    </w:p>
    <w:p>
      <w:r>
        <w:rPr>
          <w:b/>
        </w:rPr>
        <w:t>E. 3.1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(TF 6B_328/2014 du 20 janvier 2015 c. 2.1). En matière d'ordonnance pénale, le défaut de celui qui a formé opposition est réglé de manière spécifique. Selon l'art. 355 al. 2 CPP, si l'opposant, sans excuse, fait défaut à une audition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(TF 6B_328/2014 précité c. 2.1 et l’arrêt cité).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du 4 novembre 1950 de sauvegarde des droits de l’homme et des libertés fondamentales; RS 0.101]).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(ibidem).</w:t>
      </w:r>
    </w:p>
    <w:p>
      <w:r>
        <w:rPr>
          <w:b/>
        </w:rPr>
        <w:t>E. 3.2</w:t>
      </w:r>
    </w:p>
    <w:p>
      <w:r>
        <w:t>En l’espèce, on ne saurait considérer que la recourante a fait défaut sans excuse à une citation. Au contraire, le préfet a dispensé la recourante de comparaître à l’audience du 9 octobre 2014. L’intéressée n’a ensuite pas renoncé à se déterminer dans le délai qui lui avait été imparti à cet effet, mais a demandé une prolongation de ce délai pour une durée d’un mois, en motivant sa requête. En d’autres termes, la recourante ne s’est pas désintéressée des suites de son affaire. Les conditions permettant de considérer que la fiction prévue à l’art. 355 al. 2 CPP est réalisée ne sont ainsi pas remplies. C'est donc à tort que le préfet a pris acte du retrait de l'opposition et constaté que l'ordonnance pénale du 11 juillet 2014 était exécutoire. L’ordonnance attaquée doit par conséquent être annulée et le dossier de la cause renvoyé au préfet pour qu’il procède conformément à l’art. 355 CPP, respectivement qu’il décide s’il maintient ou non son ordonnance du 11 juillet 2014 et, dans l’affirmative, qu’il transmette le dossier au Tribunal de police, lequel connaît notamment des oppositions aux ordonnances préfectorales aux conditions de l’art. 356 CPP (art. 8 al. 1 let. c LVCPP).</w:t>
      </w:r>
    </w:p>
    <w:p>
      <w:r>
        <w:rPr>
          <w:b/>
        </w:rPr>
        <w:t>E. 4</w:t>
      </w:r>
    </w:p>
    <w:p>
      <w:r>
        <w:t>Il résulte de ce qui précède que le recours doit être admis, l’ordonnance attaquée annulée et le dossier de la cause renvoyé au Préfet du district de la Riviera-Pays d’Enhaut pour qu’il procède dans le sens des considérants (cf. c. 3.2 supra). Les frais de la procédure de recours, constitués de l’émolument d'arrêt, par 770 fr. (art. 20 al. 1 TFIP [Tarif des frais de procédure et indemnités en matière pénale du 28 septembre 2010, RSV 312.03.1]), seront laissés à la charge de l'Etat (art. 428 al. 4 CPP). Par ces motifs, la Chambre des recours pénale prononce : I. Le recours est admis. II. L’ordonnance du 10 novembre 2014 est annulée. III. Le dossier de la cause est renvoyé au Préfet du district de la Riviera-Pays d’Enhaut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Mme M.________, - M. le Procureur général adjoint; et communiqué à : ‑ Mme le Préfet du district de la Riviera-Pays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