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Décision / 2015 / 106 vom 2. Februar 2015</w:t>
      </w:r>
    </w:p>
    <w:p>
      <w:r>
        <w:t>VD Tribunal cantonal, 2015-02-02, FR</w:t>
      </w:r>
    </w:p>
    <w:p>
      <w:r>
        <w:rPr>
          <w:b/>
        </w:rPr>
        <w:t xml:space="preserve">Quelle: </w:t>
      </w:r>
      <w:r>
        <w:t>https://mcp.opencaselaw.ch/entscheid/vd_findinfo_D_cision___2015___106</w:t>
      </w:r>
    </w:p>
    <w:p>
      <w:r>
        <w:t>FR: VD_FINDINFO Décision / 2015 / 106 du 2 février 2015</w:t>
      </w:r>
    </w:p>
    <w:p>
      <w:r>
        <w:t>IT: VD_FINDINFO Décision / 2015 / 106 del 2 febbraio 2015</w:t>
      </w:r>
    </w:p>
    <w:p>
      <w:pPr>
        <w:pStyle w:val="Heading2"/>
      </w:pPr>
      <w:r>
        <w:t>Regeste</w:t>
      </w:r>
    </w:p>
    <w:p>
      <w:r>
        <w:t>RETRAIT{VOIE DE DROIT}, RADIATION DU RÔLE | 386 al. 2 let. b CPP (CH)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février 2015 __________________ Composition :               M. Abrecht , président MM. Meylan et Maillard, juges Greffière :              Mme Matile ***** Art. 386 al. 2 let. b CPP (CH) Statuant sur le recours interjeté le 11 décembre 2014 par N.________ contre le prononcé rendu le 26 novembre 2014 par le Président du Tribunal de l'arrondissement de Lausanne dans la cause n° PE14.008919-TDE , la Chambre des recours pénale considère : En fait et en droit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