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105 vom 19. Januar 2015</w:t>
      </w:r>
    </w:p>
    <w:p>
      <w:r>
        <w:t>VD Tribunal cantonal, 2015-01-19, FR</w:t>
      </w:r>
    </w:p>
    <w:p>
      <w:r>
        <w:rPr>
          <w:b/>
        </w:rPr>
        <w:t xml:space="preserve">Quelle: </w:t>
      </w:r>
      <w:r>
        <w:t>https://mcp.opencaselaw.ch/entscheid/vd_findinfo_D_cision___2015___105</w:t>
      </w:r>
    </w:p>
    <w:p>
      <w:r>
        <w:t>FR: VD_FINDINFO Décision / 2015 / 105 du 19 janvier 2015</w:t>
      </w:r>
    </w:p>
    <w:p>
      <w:r>
        <w:t>IT: VD_FINDINFO Décision / 2015 / 105 del 19 gennaio 2015</w:t>
      </w:r>
    </w:p>
    <w:p>
      <w:pPr>
        <w:pStyle w:val="Heading2"/>
      </w:pPr>
      <w:r>
        <w:t>Regeste</w:t>
      </w:r>
    </w:p>
    <w:p>
      <w:r>
        <w:t>CLASSEMENT DE LA PROCÉDURE, CONDUITE DU PROCÈS, ENQUÊTE PÉNALE, IN DUBIO PRO DURIORE, DROIT D'ÊTRE ENTENDU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fixé par la loi, il peut être prolongé sur demande (art. 89 al. 1 a contrario CPP; Cornu, in: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c. 3.1 ; ATF 136 I 229 c. 5.3 p. 236 ; Bénédict/Treccani, in: Kuhn/Jeanneret (éd.), Commentaire romand, Code de procédure pénale suisse, Bâle 2011, n .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Kuhn/Jeanneret (éd.), op. cit., n. 19 ad art. 318 CPP).</w:t>
      </w:r>
    </w:p>
    <w:p>
      <w:r>
        <w:rPr>
          <w:b/>
        </w:rPr>
        <w:t>E. 2.3</w:t>
      </w:r>
    </w:p>
    <w:p>
      <w:r>
        <w:t>La recourante critique la décision du Ministère public en tant qu’elle rejette ses réquisitions de preuve, reproche au Procureur l’absence d’instruction et invoque une violation de son droit d’être entendue. Comme l’a juste titre relevé le Procureur dans son ordonnance, la responsabilité pénale du détenteur d’un chien doit être examinée au regard des éventuelles violation des disposition légales ou des règles élémentaires de prudence qui s’imposent à tout propriétaire de chien ; la responsabilité de celui-ci ne sera engagée que si cette violation est dans un lien de causalité adéquate et naturelle avec l’accident. Toutefois, en l’espèce, le Procureur n’a ordonné aucune mesure d’instruction, sous réserve d’une audience de conciliation, lors de laquelle n’ont au demeurant été abordées que des questions relatives aux conditions d’un éventuel retrait de plainte et au règlement des aspects civils. En particulier, le Procureur n’a pas instruit la question d’une éventuelle faute de la détentrice de l’animal, en particulier liée au respect des conditions minimales imposées aux détenteurs de chiens par la Loi sur la police des chiens (LPolc ; RSV 133.75) et par le règlement y relatif (RLPolC ; RSV 133.75.1). Il n’a pas non plus instruit la question des éventuels antécédents du chien – au contraire de ce qui avait été fait dans l’arrêt qu’il a cité à l’appui de sa décision (CREP 5 février 2013/96) – alors que le chien responsable de la morsure de la recourante est un Americain Staff croisé boxer, espèce entrant dans la catégorie des chiens potentiellement dangereux au sens du règlement précité. En cours d’instruction, la recourante avait pourtant produit des pièces permettant de supposer que le chien avait des antécédents de morsure, que la détentrice de l’animal n’avait pas été en mesure de maîtriser son chien et qu’elle n’avait peut-être pas respecté les règles élémentaires de prudence ; ces éléments ressortent en particulier du témoignage écrit de R.________, qui mentionne notamment qu’C.________ n’avait aucune autorité sur son chien, que c’est grâce à son intervention que le chien a finalement lâché prise lors des événements du 3 février 2013 et que celui-ci avait déjà mordu à quatre reprises par le passé (P. 28/2). En définitive, le dossier est lacunaire et il n’apparaît pas exclu à ce stade que la responsabilité pénale d’C.________ puisse être engagée en sa qualité de détentrice de l’animal. L’instruction devra donc être complétée, notamment en donnant suite aux réquisitions de la plaignante et en investiguant éventuellement sur les quatre autres épisodes de morsure mentionnés par R.________. Pour ce motif déjà, le recours doit être admis.</w:t>
      </w:r>
    </w:p>
    <w:p>
      <w:r>
        <w:rPr>
          <w:b/>
        </w:rPr>
        <w:t>E. 2.4</w:t>
      </w:r>
    </w:p>
    <w:p>
      <w:r>
        <w:t>La recourante invoque également une violation du principe « in dubio pro duriore ». A l’appui du classement, le Ministère public a notamment retenu ce qui suit : « […], il s’agissait d’un chien qui séjournait en permanence au restaurant. Il était apprécié du personnel. Il n’avait aucune raison d’être attaché ou tenu à l’écart des employés qu’il connaissait bien. Il s’est spontanément installé sous la table où les employés prenaient leur pause. C’est probablement sa position, entre deux chaises, et les caresses simultanées de deux personnes qui ont provoqué une réaction d’inquiétude du chien. La morsure doit donc être imputée à une réaction instinctive de l’animal et non à une faute du maître » . Cette argumentation hypothétique – confirmée par l’emploi de l’adverbe « probablement » – n’est toutefois pas admissible au stade de l’ordonnance de classement. En effet, le Procureur a fondé sa conviction sur des éléments qui ne ressortent pas du dossier, à savoir que la cause prépondérante de la morsure serait le fait que deux personnes en même temps aient caressé la tête du chien. Or, en l’absence de toute mesure d’instruction, cette hypothèse n’apparaît pas plus vraisemblable que celle consistant à retenir une responsabilité active ou passive de la détentrice de l’animal. Il s’ensuit qu’un classement ne pouvait être prononcé au regard du principe « in dubio pro duriore ».</w:t>
      </w:r>
    </w:p>
    <w:p>
      <w:r>
        <w:rPr>
          <w:b/>
        </w:rPr>
        <w:t>E. 3</w:t>
      </w:r>
    </w:p>
    <w:p>
      <w:r>
        <w:t>Le Procureur a considéré que les conditions de retrait de plainte étaient satisfaites dès lors que, lors de l’audience de conciliation, X.________ avait affirmé qu’elle n’avait pas l’intention de déposer une plainte pénale mais bien une plainte civile pour être dédommagée de ses frais médicaux et qu’C.________ avait pris l’engagement de payer toutes les factures médicales relatives à l’accident, y compris les factures à venir. Il a ajouté que tant le montant total final que les suites possibles étaient d’ordre purement civil. Sur ce point également, le Procureur ne peut être suivi. En effet, même si elle a déclaré à l’audience de conciliation qu’elle ne souhaitait pas déposer une plainte pénale, X.________ n’en demeure pas moins partie plaignante et demanderesse au civil depuis son dépôt de plainte du 27 février 2013. Or, en l’état, il n’y a pas eu de retrait formel de la plainte. Par surabondance, à ce stade de la procédure, la nature de la lésion n’a pas été instruite. Or, aux termes de l’art. 125 al. 2 CP (Code pénal suisse du 21 décembre 1937; RS 311.0), si la lésion est qualifiée de grave, le délinquant est poursuivi d’office. En l’espèce, la recourante se prévaut de la gravité de ses lésions, invoquant en particulier que la morsure a atteint l’os et les muscles, provoquant une lésion des muscles faciaux, une perte de sensibilité de la joue gauche et de probables douleurs résiduelles persistantes à vie. Ainsi, la qualification de lésions corporelles graves ne peut pas être exclue en l’état, de sorte que la cause doit de toute manière être instruite d’office.</w:t>
      </w:r>
    </w:p>
    <w:p>
      <w:r>
        <w:rPr>
          <w:b/>
        </w:rPr>
        <w:t>E. 4</w:t>
      </w:r>
    </w:p>
    <w:p>
      <w:r>
        <w:t>Au vu de ce qui précède, le recours doit être admis. L’ordonnance attaquée sera annulée et le dossier de la cause renvoyé au Ministère public pour qu’il procède dans le sens des considérants. Il n’y a pas lieu de statuer sur la requête d’assistance judiciaire gratuite que contient l’acte de recours, dans la mesure où, par ordonnance du 10 mai 2013, le ministère public a déjà fait droit à une requête de la plaignante en ce sens et où l'assistance judiciaire gratuite pour la partie plaignante ne prend fin qu’à l’épuisement des voies de droit régies par le CPP (cf. CREP 27 novembre 2013/811 et les références citées). Les frais de la procédure de recours, constitués en l'espèce de l'émolument d'arrêt, par 990 fr. (art. 20 al. 1 TFIP  [Tarif des frais de procédure et indemnités en matière pénale du 28 septembre 2010; RSV 312.03.1]), ainsi que de l’indemnité allouée au conseil juridique gratuit de la partie plaignante, arrêtée à 1’080 fr., plus la TVA, par 86 fr. 40, soit 1’166 fr. 40 au total, seront mis à la charge de l’intimée qui a conclu au rejet du recours et qui succombe (art. 428 al. 1 CPP). Par ces motifs, la Chambre des recours pénale prononce : I. Le recours est admis. II. L'ordonnance du 7 octobre 2014 est annulée. III. Le dossier de la cause est renvoyé au Ministère public de l'arrondissement de l'Est vaudois pour qu’il procède dans le sens des considérants. IV. L’indemnité allouée au conseil juridique gratuit de X.________ est fixée à 1'166 fr. 40 (mille cent soixante-six francs et quarante centimes). V. Les frais d'arrêt, par 990 fr. (neuf cent nonante francs), ainsi que l’indemnité due au conseil juridique gratuit de X.________ pour la procédure de recours, par 1'166 fr. 40 (mille cent soixante-six francs et quarante centimes), sont mis à la charge d’C.________. VI. Le présent arrêt est exécutoire. Le président :               La greffière : Du L'arrêt qui précède, dont la rédaction a été approuvée à huis clos, est notifié, par l'envoi d'une copie complète, à : - M. Ludovic Tirelli, avocat (pour X.________), - M. Stefan Disch,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