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101 vom 30. Januar 2015</w:t>
      </w:r>
    </w:p>
    <w:p>
      <w:r>
        <w:t>VD Tribunal cantonal, 2015-01-30, FR</w:t>
      </w:r>
    </w:p>
    <w:p>
      <w:r>
        <w:rPr>
          <w:b/>
        </w:rPr>
        <w:t xml:space="preserve">Quelle: </w:t>
      </w:r>
      <w:r>
        <w:t>https://mcp.opencaselaw.ch/entscheid/vd_findinfo_D_cision___2015___101</w:t>
      </w:r>
    </w:p>
    <w:p>
      <w:r>
        <w:t>FR: VD_FINDINFO Décision / 2015 / 101 du 30 janvier 2015</w:t>
      </w:r>
    </w:p>
    <w:p>
      <w:r>
        <w:t>IT: VD_FINDINFO Décision / 2015 / 101 del 30 gennaio 2015</w:t>
      </w:r>
    </w:p>
    <w:p>
      <w:pPr>
        <w:pStyle w:val="Heading2"/>
      </w:pPr>
      <w:r>
        <w:t>Regeste</w:t>
      </w:r>
    </w:p>
    <w:p>
      <w:r>
        <w:t>ADMINISTRATION DES PREUVES | 394 let. b CPP (CH)</w:t>
      </w:r>
    </w:p>
    <w:p>
      <w:pPr>
        <w:pStyle w:val="Heading2"/>
      </w:pPr>
      <w:r>
        <w:t>Erwägungen</w:t>
      </w:r>
    </w:p>
    <w:p>
      <w:r>
        <w:rPr>
          <w:b/>
        </w:rPr>
        <w:t>E. 1.1</w:t>
      </w:r>
    </w:p>
    <w:p>
      <w:r>
        <w:t>Une décision du Ministère public d’administrer ou de refuser d’administrer une preuve au sens des art. 139 ss CPP (Code de procédure pénale suisse du 5 octobre 2007; RS 312.0) peut en principe faire l’objet d’un recours selon les art. 393 ss CPP (Keller, in : Donatsch/Hansjakob/Lieber [éd.], Kommentar zur Schweizerischen Strafprozessordnung, 2 e éd., Zurich/Bâle 2014, n. 16 ad art. 393 CPP, p. 2253; CREP 18 octobre 2012/651; CREP 22 août 2012/485; CREP 3 août 2012/470).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Commentaire romand, Code de procédure pénale suisse, Bâle 2011, n. 6 ad art. 394 CPP; CREP 26 novembre 2012/723 c. 3a; CREP 18 octobre 2012/651; CREP 22 août 2012/485).</w:t>
      </w:r>
    </w:p>
    <w:p>
      <w:r>
        <w:rPr>
          <w:b/>
        </w:rPr>
        <w:t>E. 1.2</w:t>
      </w:r>
    </w:p>
    <w:p>
      <w:r>
        <w:t>En l’espèce, la procureure a rejeté la requête du prévenu tendant à faire produire le dossier du SPJ concernant [...]. Ce refus ne cause toutefois pas de préjudice juridique irréparable à l'intéressé dès lors que le moyen de preuve ici en cause ne peut ni disparaître, ni être altéré. Le recourant ne démontre d'ailleurs pas le contraire. Il soutient que cette pièce serait utile à sa défense. Cet argument n'est pas décisif. Au besoin, il lui sera loisible de requérir à nouveau la production dudit dossier devant l'autorité de première instance.</w:t>
      </w:r>
    </w:p>
    <w:p>
      <w:r>
        <w:rPr>
          <w:b/>
        </w:rPr>
        <w:t>E. 2</w:t>
      </w:r>
    </w:p>
    <w:p>
      <w:r>
        <w:t>Il résulte de ce qui précède que le recours doit être déclaré irrecevable en application de l'art. 394 let. b CPP. Les frais de la procédure de recours, constitués en l’espèce de l’émolument d'arrêt, par 440 fr. (art. 20 al. 1 TFIP [Tarif des frais de procédure et indemnités en matière pénale; RSV 312.03.1]), seront mis à la charge du recourant, qui succombe, l’irrecevabilité du recours étant assimilée à son rejet de par la loi quant au sort des frais (art. 428 al. 1 CPP; CREP 5 janvier 2015/19 c. 2). Par ces motifs, la Chambre des recours pénale prononce : I. Le recours est irrecevable. II. Les frais d’arrêt, par 440 fr. (quatre cent quarante francs), sont mis à la charge de F.________ III. Le présent arrêt est exécutoire. Le président :               La greffière : Du Le présent arrêt, dont la rédaction a été approuvée à huis clos, est notifié, par l'envoi d'une copie complète, à : - Mme Sarah El-Abshihy, avocate pour (F.________),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