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100 vom 3. Februar 2015</w:t>
      </w:r>
    </w:p>
    <w:p>
      <w:r>
        <w:t>VD Tribunal cantonal, 2015-02-03, FR</w:t>
      </w:r>
    </w:p>
    <w:p>
      <w:r>
        <w:rPr>
          <w:b/>
        </w:rPr>
        <w:t xml:space="preserve">Quelle: </w:t>
      </w:r>
      <w:r>
        <w:t>https://mcp.opencaselaw.ch/entscheid/vd_findinfo_D_cision___2015___100</w:t>
      </w:r>
    </w:p>
    <w:p>
      <w:r>
        <w:t>FR: VD_FINDINFO Décision / 2015 / 100 du 3 février 2015</w:t>
      </w:r>
    </w:p>
    <w:p>
      <w:r>
        <w:t>IT: VD_FINDINFO Décision / 2015 / 100 del 3 febbraio 2015</w:t>
      </w:r>
    </w:p>
    <w:p>
      <w:pPr>
        <w:pStyle w:val="Heading2"/>
      </w:pPr>
      <w:r>
        <w:t>Regeste</w:t>
      </w:r>
    </w:p>
    <w:p>
      <w:r>
        <w:t>LIBÉRATION CONDITIONNELLE, PRONOSTIC, REJET DE LA DEMANDE | 86 CP, 26 LEP, 38 LEP</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condamné, qui a qualité pour recourir (cf. art. 382 al. 1 CPP) et dans les formes prescrites (cf. art. 385 al. 1 CPP), de sorte qu’il est recevable.</w:t>
      </w:r>
    </w:p>
    <w:p>
      <w:r>
        <w:rPr>
          <w:b/>
        </w:rPr>
        <w:t>E. 2</w:t>
      </w:r>
    </w:p>
    <w:p>
      <w:r>
        <w:t>Le recourant fait valoir qu’il aurait pris conscience de ses actes et qu’il entendrait désormais agir correctement, de sorte que la libération conditionnelle devrait lui être accordée.</w:t>
      </w:r>
    </w:p>
    <w:p>
      <w:r>
        <w:rPr>
          <w:b/>
        </w:rPr>
        <w:t>E. 2.1</w:t>
      </w:r>
    </w:p>
    <w:p>
      <w:r>
        <w:t>En vertu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(ATF 133 IV 201 c. 2.2 ; TF 6B_521/2011 du 12 septembre 2011 c. 2.3).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c. 2.3 ; TF 6B_521/2011 précité c. 2.3 ; Maire, La libération conditionnelle, in :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361-362 ;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125 IV 113 c. 2a et l’arrêt cité).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(ATF 133 IV 201 c. 2.3 ; TF 6B_900/2010 du 20 décembre 2010 c. 1).</w:t>
      </w:r>
    </w:p>
    <w:p>
      <w:r>
        <w:rPr>
          <w:b/>
        </w:rPr>
        <w:t>E. 2.2</w:t>
      </w:r>
    </w:p>
    <w:p>
      <w:r>
        <w:t>En l'espèce, la condition objective de l’exécution des deux tiers de la peine prévue par l'art. 86 al. 1 CP est réalisée, ce depuis le 27 janvier 2015. Il en va de même de la condition du bon comportement du recourant en détention, qui, même s’il n’est pas exempt de tout reproche, ne s’oppose pas à lui seul à la libération conditionnelle (cf. ATF 119 IV 5 c. 1a). On relèvera toutefois, à l’instar du Collège des Juges d’application des peines, que si un laps de temps conséquent s’est écoulé depuis l’évasion du condamné le 22 octobre 2009 et que des renseignements relativement favorables ont été recueillis au sujet du comportement de T.________ depuis sa réincarcération, il doit être tenu compte de cette évasion dans l’examen du pronostic à poser en vertu de l'art. 86 al. 1 CP, qui demeure le seul point litigieux ici en cause. A cet égard, la Cour de céans ne peut qu’adhérer aux motifs exposés par le Collège des Juges d’application des peines (cf. décision c. 4 let. l) et considère également que le pronostic est défavorable. Le recourant a été condamné à pas moins de quatre reprises pour des infractions à la LStup, dont trois fois pour des crimes, sans qu’il en découle une prise de conscience de sa part. Au contraire, il apparaît manifestement indifférent à ses condamnations et peu sensible à la répression pénale, comme l’illustre un parcours ancré dans la délinquance plutôt inquiétant. Après avoir été libéré conditionnellement de la peine d’emprisonnement prononcée en février 2005 et refoulé en Guinée, le prévenu, ne faisant preuve d’aucune introspection, est rapidement revenu en Suisse et a volontairement persévéré dans des actes criminels, en s’impliquant derechef dans le trafic de stupéfiants. A nouveau condamné et réincarcéré en 2008, il s’est évadé des Etablissements de Bellechasse le 22 octobre 2009. Alors même qu’il se savait forcément recherché afin de purger un solde de peine supérieur à 18 mois, il est à nouveau revenu en Suisse dans l’unique but d’y commettre, encore une fois, des infractions à LStup, en la forme notamment d’un trafic de cocaïne de grande envergure. Avec l’OEP et le Collège des Juges d’application des peines, on doit à l’évidence constater que les précédentes condamnations et l’exécution de peines privatives de liberté n’ont, à ce jour, eu aucun effet sur le condamné. Bien que celui-ci ait déclaré regretter ses actes, il continue pourtant à en contester une partie et à les minimiser, en les imputant à des facteurs extérieurs (situation de précarité et milieu dans lequel il se trouvait) ; l’intéressé se pose également en victime et tend à se déresponsabiliser sur des tiers. Sa prise de conscience est donc toute relative, ce qui met en évidence un manque patent d’amendement. T.________ n’a pas non plus de perspective de réinsertion et ses projets pour sa sortie ne sont ni concrets, ni aboutis. Certes, il a expliqué vouloir se rendre en Belgique et avoir l’intention de travailler dans la restauration. Il s’agit là toutefois de projets particulièrement flous et peu sérieux, qui ne laissent pas voir d’avantages à la libération. A ce titre, sa volonté de retrouver et de se rapprocher de son enfant est certes louable, mais elle ne saurait empêcher toute récidive eu égard à la situation précaire de T.________. Celui-ci ne dispose en effet d’aucun titre de séjour dans ce pays, n’a pas de moyens financiers suffisants pour subvenir à l’entretien de son enfant et n’a acquis aucune formation. Ces éléments conduisent ainsi à retenir que s’il devait être libéré conditionnellement, le recourant se retrouverait alors dans les mêmes circonstances que celles qui prévalaient lors de la commission des infractions pour lesquelles il a été condamné, de sorte qu’il existe un risque manifeste de récidive, en particulier s’agissant d’infractions à la LStup perpétrées afin de subvenir à ses besoins et à ceux de sa famille. Il n’y a dès lors pas assez d’éléments positifs en faveur du recourant lui permettant de se sortir de la délinquance en cas de libération. Il faut donc considérer qu’aucune autre mesure que la poursuite de l'exécution de la peine privative de liberté ne paraît à ce stade envisageable pour préserver la sécurité publique. Compte tenu du solde de la peine privative de liberté restant à purger qui s’élève à un peu plus de deux ans et demi, on ne saurait trop recommander au recourant de mettre son incarcération à profit afin d’élaborer des projets concrets et réalisables pour son avenir, en se dotant d’outils, sur le plan de la formation notamment, lui permettant de les mettre en oeuvre. Au surplus, une libération conditionnelle sous condition, malgré le pronostic défavorable, n’apparaît pas envisageable dans le cas d’espèce. En effet, un tel élargissement devrait être subordonné au renvoi du condamné. Or il faudrait pour cela une réelle volonté de retour de sa part et des projets dans son pays, ce qui n’apparaît pas être le cas, le recourant n’ayant guère formulé de réel projet dans ce sens et ayant déclaré tout de même vouloir se rendre en Belgique pour voir sa fille. A cela s’ajoute également qu’un précédent refoulement ne l’a pas davantage empêché de revenir en Suisse et d’y commettre des infractions graves. Il apparaît donc qu’un retour forcé n’est pas en l’état de nature à prémunir le risque de commission de nouveaux crimes ou délits. Il résulte de ce qui précède que c’est à bon droit que le Collège des Juges d'application des peines, posant un pronostic défavorable quant au comportement futur de T.________, a refusé de lui accorder la libération conditionnelle. Cette décision ne prête donc pas le franc à la critique et doit être confirmée.</w:t>
      </w:r>
    </w:p>
    <w:p>
      <w:r>
        <w:rPr>
          <w:b/>
        </w:rPr>
        <w:t>E. 3</w:t>
      </w:r>
    </w:p>
    <w:p>
      <w:r>
        <w:t>En définitive, le recours, manifestement mal fondé, doit être rejeté sans autres échanges d'écritures (art. 390 al. 2 CPP) et l’ordonnance entreprise confirmée. Les frais de la procédure de recours, constitués en l’espèce de l’émolument d'arrêt, par 1'320 fr. (art. 20 al. 1 TFIP [tarif des frais de procédure et indemnités en matière pénale du 28 septembre 2010 ; RSV 312.03.1], et des frais imputables à la défense d’office (art. 422 al. 1 et 2 let. a CPP), fixés à 450 fr., plus 36 fr. de TVA, soit un total de 486 fr., seront mis à la charge du recourant, qui succombe (art. 428 al. 1 CPP). Le remboursement à l’Etat de l’indemnité allouée au défenseur d’office de T.________ ne sera toutefois exigible que pour autant que la situation économique de ce dernier se soit améliorée (art. 135 al. 4 CPP). Par ces motifs, la Chambre des recours pénale prononce : I. Le recours est rejeté. II. La décision du 26 janvier 2015 est confirmée. III. L'indemnité allouée au défenseur d'office de T.________ est fixée à 486 fr. (quatre cent huitante-six francs). IV. Les frais d'arrêt, par 1'320 fr. (mille trois cent vingt francs), ainsi que l'indemnité due au défenseur d'office de T.________, par 486 fr. (quatre cent huitante-six francs), sont mis à la charge de ce dernier. V. Le remboursement à l'Etat de l'indemnité allouée au chiffre III ci-dessus sera exigible pour autant que la situation économique de T.________ se soit améliorée. VI. Le présent arrêt est exécutoire. Le président : La greffière : Du Le présent arrêt, dont la rédaction a été approuvée à huis clos, est notifié, par l'envoi d'une copie complète, à : - M. Jean Lob, avocat (pour T.________), - Ministère public central ; et communiqué à : - Mme la Présidente du Collège des Juges d’application des peines, - M. le Procureur de l’arrondissement de Lausanne, - Office d’exécution des peines (réf. : OPE/PPL/83018/VRI/BD), - Etablissements de la Plaine de l’Orbe, - Service de la population, secteur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