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998 vom 11. November 2014</w:t>
      </w:r>
    </w:p>
    <w:p>
      <w:r>
        <w:t>VD Tribunal cantonal, 2014-11-11, FR</w:t>
      </w:r>
    </w:p>
    <w:p>
      <w:r>
        <w:rPr>
          <w:b/>
        </w:rPr>
        <w:t xml:space="preserve">Quelle: </w:t>
      </w:r>
      <w:r>
        <w:t>https://mcp.opencaselaw.ch/entscheid/vd_findinfo_D_cision___2014___998</w:t>
      </w:r>
    </w:p>
    <w:p>
      <w:r>
        <w:t>FR: VD_FINDINFO Décision / 2014 / 998 du 11 novembre 2014</w:t>
      </w:r>
    </w:p>
    <w:p>
      <w:r>
        <w:t>IT: VD_FINDINFO Décision / 2014 / 998 del 11 novembre 2014</w:t>
      </w:r>
    </w:p>
    <w:p>
      <w:pPr>
        <w:pStyle w:val="Heading2"/>
      </w:pPr>
      <w:r>
        <w:t>Regeste</w:t>
      </w:r>
    </w:p>
    <w:p>
      <w:r>
        <w:t>DIFFAMATION, CALOMNIE, DÉNONCIATION CALOMNIEUSE, CLASSEMENT DE LA PROCÉDURE | 173 CP, 174 CP, 303 CP, 310 CPP (CH), 393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2.1</w:t>
      </w:r>
    </w:p>
    <w:p>
      <w:r>
        <w:t>Se rend coupable de dénonciation calomnieuse notamment celui qui aura dénoncé à l'autorité, comme auteur d'un crime ou d'un délit, une personne qu'il savait innocente, en vue de faire ouvrir contre elle une poursuite pénale (art. 303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Selon la jurisprudence, des déclarations objectivement attentatoires à l'honneur peuvent être justifiées par le devoir d'alléguer des faits dans le cadre d'une procédure judiciaire (TF 6S.752/2000 du 6 décembre 2000 c. 2c; ATF 118 IV 248 c. 2b). Tant la partie que son avocat peuvent se prévaloir de l'art. 14 CP à condition de s'être exprimés de bonne foi, de s'être limités à ce qui est nécessaire et pertinent et d'avoir présenté comme telles de simples suppositions (ATF 131 IV 154 c. 1.3.1). Dans un tel contexte, une atteinte à l'honneur ne doit être admise que restrictivement, surtout si les propos litigieux ne s'adressent qu'aux membres d'une autorité judiciaire, qui sont à même de faire la part des choses (Favre/Pellet/Stoudmann, Code pénal annoté, Lausanne 2007, n. 1.14 ad art. 173 CP).</w:t>
      </w:r>
    </w:p>
    <w:p>
      <w:r>
        <w:rPr>
          <w:b/>
        </w:rPr>
        <w:t>E. 2.2</w:t>
      </w:r>
    </w:p>
    <w:p>
      <w:r>
        <w:t>En l’espèce, sur la base des faits tels qu’allégués par le recourant, on ne saurait d’emblée exclure toute infraction. En effet, le fait d'accuser le recourant d’avoir falsifié une signature sur le document « transfert des droits » revient à l'accuser d’avoir commis un faux dans les titres et donc un délit pénal (cf. art. 251 CP), ce qui constituerait une atteinte à l'honneur au sens des art. 173 ss CP. Par ailleurs, à l’appui de sa plainte, le recourant a produit un courrier daté du 11 juillet 2014, adressé au Tribunal de police de l’arrondissement de l’Est vaudois, dans lequel il prétend que K.________ ne contesterait pas avoir apposé sa signature au bas du document « transfert des droits », ce qui va à l’encontre des accusations qu’il porte contre le recourant, de sorte qu’il existe un doute sur la bonne foi du prénommé. Ainsi, le fait que les propos litigieux aient été adressés à la justice "dont les membres sont à même de faire la part des choses" ne paraît pas pertinent en l’état. En outre, on ignore si l’avocat de l’intimé a pris l’initiative des propos litigieux ou si c’est bien l’intimé qui s’est exprimé à travers lui. Au vu de l’ensemble de ces éléments, il existe des soupçons suffisants de calomnie, subsidiairement de diffamation, et de dénonciation calomnieuse.</w:t>
      </w:r>
    </w:p>
    <w:p>
      <w:r>
        <w:rPr>
          <w:b/>
        </w:rPr>
        <w:t>E. 2.3</w:t>
      </w:r>
    </w:p>
    <w:p>
      <w:r>
        <w:t>Les conditions posées par l’art. 310 al. 1 let. a CPP n’étant ainsi pas réunies, c’est à tort que le procureur n’a pas instruit les faits plus avant. Il lui appartiendra donc d’ouvrir une instruction pénale et d’éclaircir la situation, notamment en réunissant les pièces nécessaires.</w:t>
      </w:r>
    </w:p>
    <w:p>
      <w:r>
        <w:rPr>
          <w:b/>
        </w:rPr>
        <w:t>E. 3</w:t>
      </w:r>
    </w:p>
    <w:p>
      <w:r>
        <w:t>Il résulte de ce qui précède que le recours doit être admis, l’ordonnance attaquée annulée et le dossier de la cause renvoyé au Ministère public de l’arrondissement de l’Est vaudois pour qu’il procède dans le sens des considérants. Le recourant obtenant gain de cause, les frais d'arrêt, par 660 fr. (art. 20 al. 1 TFIP [Tarif des frais de procédure et indemnités en matière pénale du 28 septembre 2010; RSV 312.03.1]), seront laissés à la charge de l'Etat (art. 423 al. 1 CPP ).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août 2014 est annulée. III. Le dossier de la cause est renvoyé au Ministère public de l’arrondissement de l’Est vaudois pour qu’il procède dans le sens des considérants. IV. Les frais d’arrêt, par 660 fr. (six cent soixante francs), sont laissés à la charge de l’Etat. V. Le présent arrêt est exécutoire. Le président :               La greffière : Du L'arrêt qui précède, dont la rédaction a été approuvée à huis clos, est notifié, par l'envoi d'une copie complète, à : - M. Eduardo Redondo, avocat (pour T.________),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