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988 vom 28. November 2014</w:t>
      </w:r>
    </w:p>
    <w:p>
      <w:r>
        <w:t>VD Tribunal cantonal, 2014-11-28, FR</w:t>
      </w:r>
    </w:p>
    <w:p>
      <w:r>
        <w:rPr>
          <w:b/>
        </w:rPr>
        <w:t xml:space="preserve">Quelle: </w:t>
      </w:r>
      <w:r>
        <w:t>https://mcp.opencaselaw.ch/entscheid/vd_findinfo_D_cision___2014___988</w:t>
      </w:r>
    </w:p>
    <w:p>
      <w:r>
        <w:t>FR: VD_FINDINFO Décision / 2014 / 988 du 28 novembre 2014</w:t>
      </w:r>
    </w:p>
    <w:p>
      <w:r>
        <w:t>IT: VD_FINDINFO Décision / 2014 / 988 del 28 novembre 2014</w:t>
      </w:r>
    </w:p>
    <w:p>
      <w:pPr>
        <w:pStyle w:val="Heading2"/>
      </w:pPr>
      <w:r>
        <w:t>Regeste</w:t>
      </w:r>
    </w:p>
    <w:p>
      <w:r>
        <w:t>ORDONNANCE DE SÉQUESTRE, SUPPRESSION{EN GÉNÉRAL}, VÉHICULE, LEASING | 90 LCR, 90a LCR, 263 al. 1 let. d CPP (CH), 267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de lever le séquestre (art. 267 al. 1 CPP) est ainsi susceptible de recours selon les art. 393 ss CPP (Lembo/Julen Berthod, in: Kuhn/Jeanneret (éd.), Commentaire romand, Code de procédure pénale suisse, Bâle 2011, n. 4 ad art. 267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En l’espèce, le recours, déposé en temps utile, devant l’autorité compétente, par le prévenu qui a un intérêt juridique à l’annulation ou à la modification de la décision dès lors que le véhicule est restitué à la société de leasing, est recevable.</w:t>
      </w:r>
    </w:p>
    <w:p>
      <w:r>
        <w:rPr>
          <w:b/>
        </w:rPr>
        <w:t>E. 2.1</w:t>
      </w:r>
    </w:p>
    <w:p>
      <w:r>
        <w:t>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op. cit., n. 17 ad art. 263 CPP ; Bommer/Goldschmid, in : Niggli/Heer/Wiprächtiger [éd.], Basler Kommentar, Schweizerische Strafprozessordnung, Jugendstrafprozess-ordnung, Bâle 2011, nn 11 à 15 ante art. 263-268 CPP).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w:t>
      </w:r>
    </w:p>
    <w:p>
      <w:r>
        <w:rPr>
          <w:b/>
        </w:rPr>
        <w:t>E. 2.2</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vertu de l’art. 90a LCR, entré en vigueur le 1 er janvier 2013,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let.a LCR sont en principe remplies lorsqu’il existe un soupçon de violation grave et qualifiée des règles de la circulation au sens de l’art. 90 al. 3 et 4 LCR (ATF 139 IV 250 c. 2.3.3; ATF 140 IV 133 c. 3.4; TF 1B_275/2013 du 28 octobre 2013 c. 2.3.3). L’art. 90 al. 3 LCR dispose en l’occurrence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let. d LCR, l’art. 90 al. 3 LCR est toujours applicable lorsque la vitesse maximale autorisée a été dépassée d’au moins 80 km/h, là où la limite était fixée à plus de 80 km/h.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139 IV 250 c. 2.3.3; ATF 140 IV 133 c. 3.4 et les références citées). Afin de poser ce pronostic, l’examen des antécédents de l’auteur peut servir d’appui à la réflexion du juge, la dangerosité devant être exclue lorsque l’infraction commise au moyen du véhicule apparaît comme un incident isolé dans l’histoire de l’auteur (CREP 13 septembre 2013/589 ; Yvan Jeanneret, Via sicura : le nouvel arsenal pénal, in : circulation routière 2/2013, p. 42).</w:t>
      </w:r>
    </w:p>
    <w:p>
      <w:r>
        <w:rPr>
          <w:b/>
        </w:rPr>
        <w:t>E. 2.3</w:t>
      </w:r>
    </w:p>
    <w:p>
      <w:r>
        <w:t>Selon l’art. 267 CPP, si le motif du séquestre disparaît, le ministère public ou le tribunal lève la mesure et restitue les objets et valeurs patrimoniales à l’ayant droit. S’il appartient bien au juge du fond de statuer sur la légalité et la mesure du séquestre, la décision de séquestre doit cependant être abrogée lorsque, pour des causes relevant du droit matériel, il apparaît d’ores et déjà clairement qu’une confiscation pénale ou une prestation compensatoire serait manifestement illégale (Moreillon et Parein-Reymond, Petit commentaire, Code de procédure pénale, Bâle 2013, n. 4 ad art, 267 CPP et l’arrêt cité).</w:t>
      </w:r>
    </w:p>
    <w:p>
      <w:r>
        <w:rPr>
          <w:b/>
        </w:rPr>
        <w:t>E. 2.4</w:t>
      </w:r>
    </w:p>
    <w:p>
      <w:r>
        <w:t>En l’espèce, le séquestre est fondé sur l’art. 263 al. 1 let. d CPP. Le dépassement de la vitesse autorisée de 100 km/h (marge de sécurité déduite) dans un lieu où la limite était fixée à 100 km/h n’est pas contesté par X.________, de sorte que celui-ci paraît s’être rendu coupable d’une violation de l’art. 90 al. 3 et 4 LCR. La première condition posée par l’art. 90 a al. 1 let. a LCR paraît donc réalisée. Il n’en va en revanche pas de même pour la deuxième condition. En effet, le dossier révèle certes l’existence d’un antécédent administratif (retrait de permis d’un mois décidé le 18 septembre 2012 pour un dépassement de vitesse de 21 km/h, apparemment dans une localité, le 24 mai 2012 ; P. 17). Cette décision a toutefois été notifiée par publication dans la feuille des avis officiels et le recourant ne semble pas en avoir eu une connaissance effective. Il est dès lors difficile de considérer qu’elle aurait dû avoir un effet dissuasif. Pour le surplus, les casiers judiciaires du recourant sont vierges et il n’y a apparemment pas d’autres antécédents de circulation routière, étant relevé que le recourant est titulaire du permis de conduire depuis 1994. Le prévenu admet les faits et une procédure simplifiée est envisagée. Enfin, son permis a été saisi provisoirement et va sans aucun doute lui être retiré pour une longue durée. Au vu de ce qui précède, on ne saurait retenir que le pronostic concernant le risque pour la sécurité publique que représente le fait de laisser à l’avenir le véhicule entre les mains de l’intéressé est défavorable. Pour ces motifs, le séquestre opéré sur la moto Yamaha [...] devait donc bien être levé.</w:t>
      </w:r>
    </w:p>
    <w:p>
      <w:r>
        <w:rPr>
          <w:b/>
        </w:rPr>
        <w:t>E. 3.1</w:t>
      </w:r>
    </w:p>
    <w:p>
      <w:r>
        <w:t>Reste encore à déterminer à qui le véhicule doit être restitué, ce dernier étant revendiqué à la fois par le prévenu et par la Société Y.________ SA.</w:t>
      </w:r>
    </w:p>
    <w:p>
      <w:r>
        <w:rPr>
          <w:b/>
        </w:rPr>
        <w:t>E. 3.2</w:t>
      </w:r>
    </w:p>
    <w:p>
      <w:r>
        <w:t>Comme on l’a vu, si le motif du séquestre disparaît, le ministère public ou le tribunal lève la mesure et restitue les objets et valeurs patrimoniales à l’ayant droit (art. 267 al. 1 CPP). S’il est incontesté que des objets ou des valeurs patrimoniales ont été directement soustraits à une personne déterminée du fait de l’infraction, l’autorité pénale les restitue à l’ayant droit avant la clôture de l’enquête (art. 267 al. 2 CPP). Toutefois, si plusieurs personnes réclament des objets ou des valeurs patrimoniales à libérer, le Tribunal peut statuer sur leur attribution (art. 267 al. 4 CPP). L’autorité pénale peut attribuer les objets ou les valeurs patrimoniales à une personne et fixer aux autres réclamants un délai pour intenter une action civile (art. 267 al. 5 CPP). La restitution avant la clôture de l’enquête au sens de l’art. 267 al. 2 CPP ne peut intervenir que lorsque l’ayant droit est connu et que les droits sur les biens libérés ne sont pas contestés. A défaut, ce sont les art. 267 al. 4 à 6 CPP qui s’appliquent (Lembo/Julen Berthod, op. cit., n. 15 ad art. 267 CPP, p. 1219). Si le Tribunal peut, dans les cas où la situation juridique est suffisamment établie, décider de l’attribution de l’objet, tel n’est pas le cas du Ministère public (Lembo/Julen Berthod, op. cit., nn. 17 ss ad art. 267 CPP, p. 1219). Le Ministère public peut donc uniquement attribuer les objets ou les valeurs patrimoniales à une personne et fixer aux autres réclamants un délai pour intenter une action civile (CREP 13 septembre 2013/589).</w:t>
      </w:r>
    </w:p>
    <w:p>
      <w:r>
        <w:rPr>
          <w:b/>
        </w:rPr>
        <w:t>E. 3.3</w:t>
      </w:r>
    </w:p>
    <w:p>
      <w:r>
        <w:t>En l’espèce, plusieurs personnes revendiquent le même objet. La société de leasing invoque avoir résilié, avec effet immédiat, le contrat de leasing et fait valoir son droit de propriété sur la moto Yamaha [...] ) . X.________ – qui indique ne pas avoir résilié le contrat de leasing – revendique également sa qualité de possesseur légitime. En principe, l’objet devant être restitué au dernier possesseur, la moto devrait être rendue au prévenu. Toutefois, conformément à la jurisprudence précitée en lien avec les véhicules en leasing, la restitution du véhicule devra être différée et un délai imparti à la Société Y.________ SA pour lui permettre, le cas échéant, d’intenter une action civile.</w:t>
      </w:r>
    </w:p>
    <w:p>
      <w:r>
        <w:rPr>
          <w:b/>
        </w:rPr>
        <w:t>E. 4</w:t>
      </w:r>
    </w:p>
    <w:p>
      <w:r>
        <w:t>En définitive, le recours doit être partiellement admis et le chiffre I de l’ordonnance du 29 septembre 2014 réformé en ce sens qu’un délai de 30 jours à compter de la date à laquelle le présent arrêt sera définitif et exécutoire est imparti à la Société Y.________ SA pour intenter une action civile et qu’à moins que des mesures provisionnelles ou un séquestre civil n’aient été ordonnés ou qu’une convention ne désignant l’ayant droit ne soit déposée, la moto Yamaha [...] ) sera restitué à X.________ à l’échéance du délai imparti. Les frais de la procédure de recours, constitués de l'émolument d'arrêt (art. 422 al. 1 CPP), par 880 fr. (art. 20 al. 1 TFIP [tarif des frais judiciaires de procédure et indemnités en matière pénale du 28 septembre 2010; RSV 312.03.1]), ainsi que de l’indemnité due au défenseur d’office de X.________ pour la procédure de recours, par 630 fr., plus la TVA, par 50 fr. 40, seront laissés à la charge de l'Etat (art. 423 al. 1 CPP). Par ces motifs, la Chambre des recours pénale prononce : I. Le recours est partiellement admis. II. Le chiffre I de l’ordonnance du 29 septembre 2014 est réformé comme il suit : a) le séquestre portant sur la moto Yamaha [...] est levé ; b) un délai de 30 jours à compter de la date où le présent arrêt sera définitif et exécutoire est imparti à la Société Y.________ SA pour intenter une action civile ; c) à moins qu’une requête de mesures provisionnelles, une requête de séquestre civil ou une convention désignant l’ayant droit ne soient déposées, la moto Yamaha [...] sera restituée à X.________ à l’échéance du délai fixé sous lettre b ci-dessus. III. L'indemnité allouée au défenseur d'office de X.________ est fixée à 680 fr. 40 (six cent huitante francs et quarante centimes). IV. Les frais d'arrêt, par 880 fr. (huit cent huitante francs), ainsi que l'indemnité allouée au défenseur d’office du recourant pour la procédure de recours, par 680 fr. 40 (six cent huitante francs et quarante centimes), sont laissés à la charge de l'Etat. V. Le présent arrêt est exécutoire. Le président :               La greffière : Du L'arrêt qui précède, dont la rédaction a été approuvée à huis clos, est notifié, par l'envoi d'une copie complète, à : - M. Laurent Mösching, avocat (pour X.________), - Y.________ 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