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986 vom 11. November 2014</w:t>
      </w:r>
    </w:p>
    <w:p>
      <w:r>
        <w:t>VD Tribunal cantonal, 2014-11-11, FR</w:t>
      </w:r>
    </w:p>
    <w:p>
      <w:r>
        <w:rPr>
          <w:b/>
        </w:rPr>
        <w:t xml:space="preserve">Quelle: </w:t>
      </w:r>
      <w:r>
        <w:t>https://mcp.opencaselaw.ch/entscheid/vd_findinfo_D_cision___2014___986</w:t>
      </w:r>
    </w:p>
    <w:p>
      <w:r>
        <w:t>FR: VD_FINDINFO Décision / 2014 / 986 du 11 novembre 2014</w:t>
      </w:r>
    </w:p>
    <w:p>
      <w:r>
        <w:t>IT: VD_FINDINFO Décision / 2014 / 986 del 11 novembre 2014</w:t>
      </w:r>
    </w:p>
    <w:p>
      <w:pPr>
        <w:pStyle w:val="Heading2"/>
      </w:pPr>
      <w:r>
        <w:t>Regeste</w:t>
      </w:r>
    </w:p>
    <w:p>
      <w:r>
        <w:t>VOIES DE FAIT, CONJOINT, CLASSEMENT DE LA PROCÉDURE, CONDUITE DU PROCÈS, ENQUÊTE PÉNALE | 126 al. 2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La recourante conteste l’ordonnance de classement. Elle soutient que le Procureur aurait considéré à tort que les éléments récoltés durant le processus d’enquête ne permettaient pas de faire la part des choses entre ses affirmations et les dénégations de son époux F.________.</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2.3</w:t>
      </w:r>
    </w:p>
    <w:p>
      <w:r>
        <w:t>En vertu de l’art. 126 al. 1 CP (Code pénal; RS 311.0), celui qui se sera livré sur une personne à des voies de fait qui n'auront causé ni lésion corporelle ni atteinte à la santé sera, sur plainte, puni d'une amende. D’après l’art. 126 al. 2 let. b CP, la poursuite aura lieu d'office si l'auteur a agi à réitérées reprises contre son conjoint durant le mariage ou dans l'année qui a suivi le divorce.</w:t>
      </w:r>
    </w:p>
    <w:p>
      <w:r>
        <w:rPr>
          <w:b/>
        </w:rPr>
        <w:t>E. 2.4</w:t>
      </w:r>
    </w:p>
    <w:p>
      <w:r>
        <w:t>En l’espèce, il s’agit d’un cas de violences conjugales. Dans son recours, T.________ relève différents indices qui laissent apparaître que les conditions à la poursuite pénale pourraient être remplies. A cet égard, il ressort de la lecture des procès-verbaux d’audition des témoins du 27 mai 2014 que tant [...] que [...] et [...] ont confirmé que la recourante leur avait indiqué subir des violences conjugales et ont déclaré qu’ils avaient vu des traces de coups sur son corps (PV aud. n. 3, 4 et 5). Ces témoignages, certes indirects en ce qui concerne les violences conjugales, font tous état de marques visibles sur le corps de T.________. A cela s’ajoute que le Procureur n’a pas procédé à toutes les mesures d’instruction pertinentes susceptibles d’établir l’existence de soupçons suffisants permettant une mise en accusation. Il se justifie en particulier de compléter l’instruction en requérant de l’hôpital d’Yverdon les résultats de la consultation du 1 er mai 2013 (PV aud. n. 4; P. 20).</w:t>
      </w:r>
    </w:p>
    <w:p>
      <w:r>
        <w:rPr>
          <w:b/>
        </w:rPr>
        <w:t>E. 3</w:t>
      </w:r>
    </w:p>
    <w:p>
      <w:r>
        <w:t>En définitive, le recours doit être admis et l'ordonnance de classement du 8 septembre 2014 annulée, le dossier de la cause étant renvoyé au Ministère public de l'arrondissement du Nord Vaudois pour qu'il procède dans le sens des considérants. Vu l’issue du recours, les frais de la procédure de recours, constitués en l’espèce du seul émolument d'arrêt, par 550 fr. (art. 20 al. 1 TFIP [Tarif des frais de procédure et indemnités en matière pénale du 28 septembre 2010; RSV 312.03.1]), seront mis à la charge de l’intimé, qui succombe dès lors qu’il a conclu au rejet du recours (art. 428 al. 1 CPP). S’agissant d’éventuels dépens, il appartiendra le cas échéant à la recourante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8 septembre 2014 est annulée et le dossier de la cause est renvoyé au Ministère public de l'arrondissement du Nord Vaudois pour qu'il procède dans le sens des considérants. III. Les frais d'arrêt, par 550 fr. (cinq cent cinquante francs), sont mis à la charge de F.________. IV. Le présent arrêt est exécutoire. Le président :               La greffière : Du L'arrêt qui précède, dont la rédaction a été approuvée à huis clos, est notifié, par l'envoi d'une copie complète, à : - Me Philippe Ehrenström, avocat (pour T.________), - Me Alexa Landert, avocate (pour F.________),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