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 vom 8. Oktober 2013</w:t>
      </w:r>
    </w:p>
    <w:p>
      <w:r>
        <w:t>VD Tribunal cantonal, 2013-10-08, FR</w:t>
      </w:r>
    </w:p>
    <w:p>
      <w:r>
        <w:rPr>
          <w:b/>
        </w:rPr>
        <w:t xml:space="preserve">Quelle: </w:t>
      </w:r>
      <w:r>
        <w:t>https://mcp.opencaselaw.ch/entscheid/vd_findinfo_D_cision___2014___98</w:t>
      </w:r>
    </w:p>
    <w:p>
      <w:r>
        <w:t>FR: VD_FINDINFO Décision / 2014 / 98 du 8 octobre 2013</w:t>
      </w:r>
    </w:p>
    <w:p>
      <w:r>
        <w:t>IT: VD_FINDINFO Décision / 2014 / 98 del 8 ottobre 2013</w:t>
      </w:r>
    </w:p>
    <w:p>
      <w:pPr>
        <w:pStyle w:val="Heading2"/>
      </w:pPr>
      <w:r>
        <w:t>Regeste</w:t>
      </w:r>
    </w:p>
    <w:p>
      <w:r>
        <w:t>NON-LIEU, OPPOSITION À UN ACTE DE L'AUTORITÉ | 286 CP, 310 CPP (CH), 319 al. 1 CPP (CH)</w:t>
      </w:r>
    </w:p>
    <w:p>
      <w:pPr>
        <w:pStyle w:val="Heading2"/>
      </w:pPr>
      <w:r>
        <w:t>Erwägungen</w:t>
      </w:r>
    </w:p>
    <w:p>
      <w:r>
        <w:rPr>
          <w:b/>
        </w:rPr>
        <w:t>E. 1</w:t>
      </w:r>
    </w:p>
    <w:p>
      <w:r>
        <w:t>a) L’art. 382 al. 1 CPP (Code de procédure pénale suisse du 5 octobre 2007; RS 312.0) dispose que toute partie qui a un intérêt juridiquement protégé à l’annulation ou à la modification d’une décision a qualité pour recourir contre celle-ci. Cette disposition donne une définition générale de la qualité pour recourir (Message du Conseil fédéral relatif à l’unification du droit de la procédure pénale, FF 2006, p. 1292). La définition de partie doit être entendue au sens large et comprendre, en sus des parties stricto sensu (art. 104 CPP), les autres participants à la procédure (art. 105 CPP), pour autant que ceux-ci aient participé à la procédure de première instance et aient un intérêt juridique à recourir (Moreillon/Parein-Reymond, Petit commentaire, Code de procédure pénale, 2013, n. 4 ad art. 382 CPP et les références citées). L’intérêt doit être juridique et direct. L’intérêt juridiquement protégé se distingue de l’intérêt digne de protection qui n’est pas, lui, nécessairement juridique mais peut aussi être un pur intérêt de fait ; ce dernier ne suffisant pas à fonder une qualité pour recourir (Calame, in : Kuhn/Jeanneret (éd.), Commentaire romand, Code de procédure pénale, Bâle 2011, n. 1 ad art. 382 CPP). Le simple dénonciateur ne répond pas à la définition de lésé et n'est donc pas partie à la procédure (Jeanneret, La partie plaignante et l'action civile, RPS 128/2010, p. 299). La règle est d'ailleurs mentionnée à l'art. 301 al. 3 CPP, qui dispose que le dénonciateur, qui n'est ni lésé ni partie plaignante, ne jouit d'aucun autre droit en procédure, excepté celui prévu à l'art. 301 al. 2 CPP, d'être informé, s'il le demande, sur la suite que l'autorité pénale a donnée à sa dénonciation (Moreillon/Parein-Reymond, op. cit., n. 12 ad art. 115 CPP). b) En l’espèce, la recourante, qui ne semble pas s’être constituée partie plaignante, est dénonciatrice. On pourrait admettre qu’elle soit lésée, dans la mesure où l’infraction qu’elle impute à son époux est susceptible de porter atteinte à ses intérêts dans le cadre de la procédure de mesures protectrices de l’union conjugale ouverte auprès du Tribunal de district de Sierre. Cette question peut toutefois rester ouverte au vu de ce qui suit.</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w:t>
      </w:r>
    </w:p>
    <w:p>
      <w:r>
        <w:rPr>
          <w:b/>
        </w:rPr>
        <w:t>E. 3</w:t>
      </w:r>
    </w:p>
    <w:p>
      <w:r>
        <w:t>La recourante reproche à la procureure d’avoir considéré que l’infraction d’empêchement d’accomplir un acte officiel n’était manifestement pas réalisée sur la seule base de l’attestation fournie par l’intimé et sans procéder à l’enquête de voisinage qu’elle avait requise, ni à l’analyse du passeport de l’intimé, afin de déterminer le domicile réel et effectif de ce dernier. Elle soutient que son mari a obtenu cette attestation pour rendre difficiles à l’excès les demandes tendant à sa comparution devant le Tribunal de district de Sierre dans le cadre de la procédure de mesures protectrices de l’union conjugale qui est pendante. a) L’art. 286 CP dispose que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Il n'est en revanche pas nécessaire que l'auteur parvienne à éviter effectivement l'accomplissement de l'acte officiel, il suffit qu'il le rende plus difficile, l'entrave ou le diffère (ATF 133 IV 97 c. 4.2 ; ATF 127 IV 115 c. 2 et les références citées). La réalisation de cette infraction nécessite une certaine activité et vise avant tout une obstruction physique (Corboz, Les infractions en droit suisse, 3 e éd., vol. I, Berne 2010, n. 13 ad art. 286 CP). b) En l’occurrence, si tant est que l’intimé aurait pris un domicile fictif en République dominicaine, cela ne constitue pas une opposition aux actes de l’autorité au sens de l’art. 286 CP. En tout état de cause, les pièces produites par l’intimé démontrent que ce dernier est effectivement domicilié de manière permanente dans ce pays depuis plusieurs années (P. 101 et 102 du bordereau déposé le 5 décembre 2013). Par ailleurs, contrairement à ce que soutient la recourante, rien au dossier n’établit que l’intimé aurait cherché à empêcher sa comparution dans le cadre de la procédure de mesures protectrices de l’union conjugale pendante devant le Tribunal du district de Sierre ; il a en effet mandaté un conseil qui, en sa qualité de représentant, reçoit en son étude les actes judiciaires qui lui sont destinés et il a communiqué au tribunal les dates de ses venues en Suisse, de sorte qu’une audience a pu être appointée pour le 11 mars 2014 (P. 104 et 105 du bordereau déposé le 5 décembre 2013). Au vu de ce qui précède, les conditions de l'art. 286 CP ne sont à l’évidence pas réalisées et aucune mesure d’instruction complémentaire ne permettrait d’aboutir à une autre appréciation. L'ordonnance de non-entrée rendue par la procureure est dès lors bien fondée.</w:t>
      </w:r>
    </w:p>
    <w:p>
      <w:r>
        <w:rPr>
          <w:b/>
        </w:rPr>
        <w:t>E. 4</w:t>
      </w:r>
    </w:p>
    <w:p>
      <w:r>
        <w:t>En définitive, le recours doit être rejeté, dans la mesure où il est recevable, et l'ordonnance de non-entrée en matière du 8 octobre 2013 confirmée. Les frais de la procédure de recours, constitués de l’émolument d’arrêt, par 660 fr. (art. 20 al. 1 TFJP [tarif des frais judiciaires pénaux du 28 septembre 2010; RSV 312.03.1]), seront mis à la charge de A.L.________ qui succombe (art. 428 al. 1 CPP). L’intimé, qui a conclu au rejet du recours et qui a procédé avec l'assistance d'un conseil professionnel, a droit à une indemnité pour les dépenses occasionnées par l'exercice raisonnable de ses droits dans le cadre de la présente procédure de recours, conformément à l'art. 429 al. 1 let. a CPP, à la charge de l’Etat. Au vu de la nature de la procédure et compte tenu des opérations utiles du mandataire, il convient d'arrêter cette indemnité à 594 fr., TVA et débours compris. Par ces motifs, la Chambre des recours pénale, statuant à huis clos, prononce : I. Le recours est rejeté, dans la mesure où il est recevable. II. L’ordonnance du 8 octobre 2013 est confirmée. III. Une indemnité de 594 fr. (cinq cent nonante quatre francs), à titre d’indemnité selon l’art. 429 al. 1 let. a CPP, est allouée à B.L.________ pour la procédure de recours, à la charge de l’Etat. IV. Les frais d’arrêt, par 660 fr. (six cent soixante francs), sont mis à la charge de A.L.________. V. Le présent arrêt est exécutoire. Le président :               La greffière : Du L'arrêt qui précède, dont la rédaction a été approuvée à huis clos, est notifié, par l'envoi d'une copie complète, à : - Mme Béatrice Stahel, avocate (pour A.L.________), - M. Gille Davoine, avocat (pour B.L.________),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