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975 vom 6. November 2014</w:t>
      </w:r>
    </w:p>
    <w:p>
      <w:r>
        <w:t>VD Tribunal cantonal, 2014-11-06, FR</w:t>
      </w:r>
    </w:p>
    <w:p>
      <w:r>
        <w:rPr>
          <w:b/>
        </w:rPr>
        <w:t xml:space="preserve">Quelle: </w:t>
      </w:r>
      <w:r>
        <w:t>https://mcp.opencaselaw.ch/entscheid/vd_findinfo_D_cision___2014___975</w:t>
      </w:r>
    </w:p>
    <w:p>
      <w:r>
        <w:t>FR: VD_FINDINFO Décision / 2014 / 975 du 6 novembre 2014</w:t>
      </w:r>
    </w:p>
    <w:p>
      <w:r>
        <w:t>IT: VD_FINDINFO Décision / 2014 / 975 del 6 novembre 2014</w:t>
      </w:r>
    </w:p>
    <w:p>
      <w:pPr>
        <w:pStyle w:val="Heading2"/>
      </w:pPr>
      <w:r>
        <w:t>Regeste</w:t>
      </w:r>
    </w:p>
    <w:p>
      <w:r>
        <w:t>LÉSION CORPORELLE SIMPLE, PROPORTIONNALITÉ | 319 CPP (CH)</w:t>
      </w:r>
    </w:p>
    <w:p>
      <w:pPr>
        <w:pStyle w:val="Heading2"/>
      </w:pPr>
      <w:r>
        <w:t>Erwägungen</w:t>
      </w:r>
    </w:p>
    <w:p>
      <w:r>
        <w:rPr>
          <w:b/>
        </w:rPr>
        <w:t>E. 1</w:t>
      </w:r>
    </w:p>
    <w:p>
      <w:r>
        <w:t>Les parties peuvent attaquer une ordonnance de classement rendue par le ministère public en application des art. 319 ss CPP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Interjeté dans le délai légal auprès de l’autorité compétente par la partie plaignante qui a la qualité pour recourir (cf. art. 382 al. 1 CPP), le recours est recevable.</w:t>
      </w:r>
    </w:p>
    <w:p>
      <w:r>
        <w:rPr>
          <w:b/>
        </w:rPr>
        <w:t>E. 2</w:t>
      </w:r>
    </w:p>
    <w:p>
      <w:r>
        <w:t>Aux termes de l'art. 319 al. 1 CPP, le Ministère public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in : Niggli/Heer/Wiprächtiger [éd.], Basler Kommentar, Schweizerische Strafprozessordnung, Jugendstrafprozessordnung, Bâle 2011, n. 8 ad art. 319 CPP, p. 2208),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(ATF 137 IV 219). La possibilité de classer la procédure ne saurait toutefois être limitée à ce seul cas, car une interprétation aussi restrictive imposerait un renvoi en jugement, même en présence d'une très faible probabilité de condamnation (ATF 138 IV 86 c. 4.1.1; TF 1B_272/2011 du 22 mars 2012 c. 3.1.1). Le principe « in dubio pro duriore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 4.1.1; ATF 138 IV 186; TF 1B_272/2011 du 22 mars 2012 c. 3.1.1). Enfin,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3 juillet 2012/483 et les références citées).</w:t>
      </w:r>
    </w:p>
    <w:p>
      <w:r>
        <w:rPr>
          <w:b/>
        </w:rPr>
        <w:t>E. 3.1</w:t>
      </w:r>
    </w:p>
    <w:p>
      <w:r>
        <w:t>Le recourant se plaint d’une constatation erronée des faits et conteste l’ordonnance de classement. Il soutient avoir été victime de violences disproportionnées de la part des policiers, accusant ceux-ci de l’avoir malmené sans raison puis de l’avoir projeté avec violence contre une vitre.</w:t>
      </w:r>
    </w:p>
    <w:p>
      <w:r>
        <w:rPr>
          <w:b/>
        </w:rPr>
        <w:t>E. 3.2</w:t>
      </w:r>
    </w:p>
    <w:p>
      <w:r>
        <w:t>Conformément à l'art. 14 CP, quiconque agit comme la loi l'ordonne ou l'autorise se comporte de manière licite, même si l'acte est punissable en vertu de ce même code. Cette disposition reprend en substance l'art. 32 aCP, de sorte que la jurisprudence y relative conserve sa pertinence. La licéité de l'acte est, en tous les cas, subordonnée à la condition qu'il soit proportionné à son but (ATF 107 IV 84, c. 4). Il faut donc se demander si le préjudice porté aux droits de tiers n'excède pas ce qui est nécessaire pour atteindre le but qui le justifie (ATF 107 IV 84, précité, c. 4 et 4a; ATF 94 IV 5, c. 1 et 2a), en tenant compte des circonstances du cas d'espèce, soit de la justification et du type de la mesure prise, ainsi que des moyens et du temps dont disposait l'intéressé, selon la représentation qu'il avait des faits au moment où il a agi (TF 6B_930/2008 du 15 janvier 2009, c. 3.1 et la référence citée). Le respect de la proportionnalité est une question de droit, qui relève avant tout de l'appréciation, laquelle doit intervenir en se replaçant dans les circonstances concrètes du cas, en tenant compte de la réalité du terrain – notamment en matière d'intervention policière – de l'urgence ou encore de l'état de tension dans lequel l'auteur pouvait être légitimement plongé. Ainsi, les autorités judiciaires ne doivent pas se livrer à des raisonnements a posteriori trop subtils pour établir si l'auteur des mesures de défense n'aurait pas pu ou dû se contenter d'avoir recours à des moyens moins dommageables (Monnier, Commentaire romand, Bâle 2009, n. 5 ad art. 14-18 CP, p. 172 et les références citées). Il était déjà acquis, aux termes de la jurisprudence et de la doctrine relatives à l'art. 32 aCP, que le devoir de fonction et le devoir de profession, tels qu'expressément prévus à l'art. 32 aCP, ne constituaient pas des justifications autonomes découlant directement de cette norme pénale, mais devaient également, conformément au principe de base, reposer sur une (autre) norme juridique écrite ou non écrite. L'art. 14 CP, à l'instar de l'art. 32 aCP, ne renferme en lui-même aucun motif justificatif et ne constitue qu'une norme de renvoi, par exemple au droit public cantonal, s'agissant de déterminer l'existence et l'étendue d'un devoir de fonction (Monnier, op. cit., n. 21 ad art. 14-18 CP, p. 174 et la référence citée). En droit cantonal, l'art. 24 de la loi sur la police cantonale (RSV 131.11, LPol) interdit au fonctionnaire de police de faire subir à quiconque un outrage ou des mauvais traitements, mais prévoit que la police peut, pour l'accomplissement de son service, utiliser la force, dans une mesure proportionnée aux circonstances, lorsqu'il n'existe pas d'autre moyen d'agir.</w:t>
      </w:r>
    </w:p>
    <w:p>
      <w:r>
        <w:rPr>
          <w:b/>
        </w:rPr>
        <w:t>E. 3.3</w:t>
      </w:r>
    </w:p>
    <w:p>
      <w:r>
        <w:t>En l’espèce, le procureur a entendu l’ensemble des personnes concernées. Un constat médical et un lot de photographies relatifs aux blessures dont a souffert le recourant figurent au dossier (P. 5 et 8). S’agissant de la demande d’identification faite au recourant et l’opposition de celui-ci, toutes les versions concordent. Le recourant se plaint d’avoir été malmené et d’avoir eu la tête violemment lancée contre la paroi vitrée du métro (PV aud. 1, p. 3, lignes 69 ss). Le constat de coups et blessures (P. 5) fait état d’une nette limitation et diminution de la mobilité de l’épaule gauche avec une douleur à tous les mouvements, au niveau des poignets des deux côtés, d’une douleur ainsi qu’un érythème en regard des apophyses styloïdes des deux côté et d’un hématome au niveau de l’occipital droit. Les explications fournies par les agents [...] et T.________ quant à l’enchaînement des faits apparaissent cohérentes et ne contredisent pas le constat médical établi. Il ne fait dès lors guère de doute que le recourant s’est blessé lorsqu’il a été immobilisé contre la vitre afin que les policiers puissent lui passer les menottes et l’emmener au poste pour une identification formelle. Aucun élément ne permet d’accréditer la version de D.________ selon laquelle les policiers auraient couru avec lui avant de projeter sa tête contre la vitre. Il est incontestable que le recourant a subi certaines lésions. Toutefois, le certificat médical et les photographies produites ne démontrent absolument pas que les prévenus auraient agi de manière disproportionnée. En effet, ensuite d’un incendie considéré comme probablement intentionnel, il se justifiait pleinement de prendre les identités des personnes sortant de l’immeuble en feu. Au vu de l’attitude très oppositionnelle et agitée de D.________, l’agente G.________ et le sergent T.________ n’avaient d’autre choix que de le maîtriser pour le conduire au poste de police, dans l’unique but de prendre son identification formelle. Force est dès lors de constater que ces policiers ont agi de manière adéquate et leur comportement n’apparaît pas critiquable. Une condamnation paraît exclue, ou à tout le moins infiniment moins probable qu’un acquittement. Le classement peut ainsi être confirmé.</w:t>
      </w:r>
    </w:p>
    <w:p>
      <w:r>
        <w:rPr>
          <w:b/>
        </w:rPr>
        <w:t>E. 4</w:t>
      </w:r>
    </w:p>
    <w:p>
      <w:r>
        <w:t>En définitive, le recours, manifestement mal fondé, doit être rejeté sans autre échange d'écritures (art. 390 al. 2 CPP) et l'ordonnance confirmée. Les frais de la procédure de recours, constitués du seul émolument d'arrêt (art. 422 al. 1 CPP), par 770 fr. (art. 20 al. 1 TFJP [Tarif des frais judiciaires pénaux du 28 septembre 2010, RSV 312.03.1]), seront mis à la charge du recourant qui succombe (art. 428 al. 1 CPP). Par ces motifs, la Chambre des recours pénale prononce : I. Le recours est rejeté. II. L’ordonnance du 9 septembre 2014 est confirmée. III. Les frais du présent arrêt, par 770 fr. (sept cent septante francs), sont mis à la charge de D.________. IV. Le présent arrêt est exécutoire. Le président :               La greffière : Du L'arrêt qui précède, dont la rédaction a été approuvée à huis clos, est notifié, par l'envoi d'une copie complète, à : - Me Marcel Waser, avocat (pour D.________), - Mme G.________, - M. T.________,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