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97 vom 12. November 2013</w:t>
      </w:r>
    </w:p>
    <w:p>
      <w:r>
        <w:t>VD Tribunal cantonal, 2013-11-12, FR</w:t>
      </w:r>
    </w:p>
    <w:p>
      <w:r>
        <w:rPr>
          <w:b/>
        </w:rPr>
        <w:t xml:space="preserve">Quelle: </w:t>
      </w:r>
      <w:r>
        <w:t>https://mcp.opencaselaw.ch/entscheid/vd_findinfo_D_cision___2014___97</w:t>
      </w:r>
    </w:p>
    <w:p>
      <w:r>
        <w:t>FR: VD_FINDINFO Décision / 2014 / 97 du 12 novembre 2013</w:t>
      </w:r>
    </w:p>
    <w:p>
      <w:r>
        <w:t>IT: VD_FINDINFO Décision / 2014 / 97 del 12 novembre 2013</w:t>
      </w:r>
    </w:p>
    <w:p>
      <w:pPr>
        <w:pStyle w:val="Heading2"/>
      </w:pPr>
      <w:r>
        <w:t>Regeste</w:t>
      </w:r>
    </w:p>
    <w:p>
      <w:r>
        <w:t>CLASSEMENT DE LA PROCÉDURE, PLAINTE PÉNALE, RETRAIT{VOIE DE DROIT} | 33 al. 1 CP, 33 al. 2 CP, 33 CP, 319 al. 1 CPP (CH), 319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dans un cas prévu par le CPP (art. 393 al. 1 let. a CPP). Respectant les formes prescrites (art. 385 al. 1 CPP) et déposé par une partie ayant qualité pour recourir, le recours est recevable.</w:t>
      </w:r>
    </w:p>
    <w:p>
      <w:r>
        <w:rPr>
          <w:b/>
        </w:rPr>
        <w:t>E. 2</w:t>
      </w:r>
    </w:p>
    <w:p>
      <w:r>
        <w:t>A l’appui de son recours, W.________ expose en substance qu’il est moralement et psychologiquement affecté par le fait d’avoir retiré sa plainte, si bien qu’il souhaite finalement que l’affaire soit jugée, afin qu’il puisse « tourner la page ». a) Les actes que W.________ reproche à V.________ pourraient être constitutifs de lésions corporelles simples (art. 123 CP) ou de voies de fait (art. 126 CP). Sous réserve d’hypothèses particulières non réalisées en l’espèce (art. 123 ch. 2 et 126 al. 2 CP), ces infractions ne se poursuivent que sur plainte (art. 123 ch. 1 et 126 al. 1 CP). Le ministère public ordonne le classement de tout ou partie de la procédure notamment lorsqu'il est établi que certaines conditions à l'ouverture de l'action pénale ne peuvent pas être remplies ou que des empêchements de procéder sont apparus (art. 319 al. 1 let. d CPP). Lorsqu’une infraction se poursuit sur plainte, le retrait de celle-ci fait partie de ces empêchements de procéder (Moreillon/Parein-Reymond, Petit Commentaire du Code de procédure pénale, Bâle 2013, n. 17 ad art. 319 CPP, p. 921). Le retrait de plainte est irrévocable et définitif (Dupuis/Geller/Monnier/ Moreillon/Piguet/Bettex/Stoll, Code pénal, Petit commentaire, Bâle 2012, n. 9 ad art. 33 CP, p. 236), sauf s’il est intervenu en raison d’une tromperie ou d’une contrainte relevant du droit pénal, auquel cas le plaignant peut être autorisé à renouveler sa plainte (Dupuis/Geller/Monnier/Moreillon/Piguet/Bettex/Stoll, op. cit., n.</w:t>
      </w:r>
    </w:p>
    <w:p>
      <w:r>
        <w:rPr>
          <w:b/>
        </w:rPr>
        <w:t>E. 5</w:t>
      </w:r>
    </w:p>
    <w:p>
      <w:r>
        <w:t>ad art. 33 CP, p. 235). b) En l’espèce, les motifs qu’invoque W.________ ne sont pas de nature à lui permettre de renouveler sa plainte, puisqu’il ne soutient pas avoir été victime de tromperie ou de contrainte. Dès lors, il ne peut revenir sur sa déclaration de retrait de plainte. Comme l’existence d’une plainte était en l’espèce une condition nécessaire de la poursuite pénale, c’est à bon droit que le ministère public a considéré qu’à la suite du retrait de plainte, un empêchement de procéder était apparu et qu’il convenait de rendre une ordonnance de classement, étant rappelé que les parties avaient auparavant renoncé au délai de prochaine clôture (cf. Moreillon/Parein-Reymond, op. cit., n. 6 ad art. 318 CPP). 3. En définitive, le recours doit être rejeté sans autre échange d’écritures (art. 390 al. 2 CPP) et l'ordonnance de classement confirmée. Les frais d'arrêt, par 440 fr. (art. 20 al. 1 TFJP [tarif des frais judiciaires pénaux; RSV 312.03.1]), seront mis à la charge du recourant, qui succombe (art. 428 al. 1 CPP). Le montant de 440 fr. déjà versé par le recourant à titre de sûretés (art. 383 al. 1 CPP) sera imputé sur les frais mis à sa charge (art. 7 TFJP). Par ces motifs, la Chambre des recours pénale, statuant à huis clos, prononce : I. Le recours est rejeté. II. L’ordonnance du 8 octobre 2013 est confirmée. III. Les frais d’arrêt, par 440 fr. (quatre cent quarante francs), sont mis à la charge de W.________. IV. Le montant de 440 fr. (quatre cent quarante francs) déjà versé par W.________ à titre de sûretés est imputé sur les frais mis à sa charge au chiffre III ci-dessus. V. Le présent arrêt est exécutoire. Le président :               Le greffier : Du L'arrêt qui précède, dont la rédaction a été approuvée à huis clos, est notifié, par l'envoi d'une copie complète, à : - M. W.________, - M. V.________,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