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969 vom 29. Oktober 2014</w:t>
      </w:r>
    </w:p>
    <w:p>
      <w:r>
        <w:t>VD Tribunal cantonal, 2014-10-29, FR</w:t>
      </w:r>
    </w:p>
    <w:p>
      <w:r>
        <w:rPr>
          <w:b/>
        </w:rPr>
        <w:t xml:space="preserve">Quelle: </w:t>
      </w:r>
      <w:r>
        <w:t>https://mcp.opencaselaw.ch/entscheid/vd_findinfo_D_cision___2014___969</w:t>
      </w:r>
    </w:p>
    <w:p>
      <w:r>
        <w:t>FR: VD_FINDINFO Décision / 2014 / 969 du 29 octobre 2014</w:t>
      </w:r>
    </w:p>
    <w:p>
      <w:r>
        <w:t>IT: VD_FINDINFO Décision / 2014 / 969 del 29 ottobre 2014</w:t>
      </w:r>
    </w:p>
    <w:p>
      <w:pPr>
        <w:pStyle w:val="Heading2"/>
      </w:pPr>
      <w:r>
        <w:t>Regeste</w:t>
      </w:r>
    </w:p>
    <w:p>
      <w:r>
        <w:t>VOL{DROIT PÉNAL}, DIFFAMATION, CONTRAINTE{DROIT PÉNAL}, INSOUMISSION À UNE DÉCISION DE L'AUTORITÉ, RECTIFICATION DE LA DÉCISION, PROCÉDÉ TÉMÉRAIRE, FRAIS DE LA PROCÉDURE, CLASSEMENT DE LA PROCÉDURE, RÉCUSATION | 139 CP, 173 ch. 2 CP, 181 CP, 292 CP, 319 CPP (CH), 393 al. 1 let. a CPP (CH), 420 CPP, 427 al. 2 CPP (CH), 56 let. f CPP (CH), 83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2.1</w:t>
      </w:r>
    </w:p>
    <w:p>
      <w:r>
        <w:t>Le requérant demande la récusation du procureur en incriminant l’absence de vision objective de ce dernier, eu égard au fait qu’avant de traiter la plainte pénale du recourant, il avait eu connaissance de la plainte pénale déposée par l’Association V.________ contre le recourant pour gestion déloyale, et en incriminant l’usage de certains termes, tels que « la mauvaise foi de P.________ » ou ce dernier « est coutumier de ce genre de montage ».</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TF 1B_129/2014 du 16 mai 2014 c. 2.1). Enfin, n'emportent pas prévention une décision défavorable à une partie (TF 1B_105/2013 du 21 mai 2013 c. 2.1; TF 1B_365/2009 du 22 mars 2010 c. 3.3) ou un refus d'administrer une preuve (ATF 116 Ia 135; Verniory, in : Kuhn/ Jeanneret, Commentaire romand, Code de procédure pénale suisse, Bâle 2011, n. 35 ad art. 56 CPP).</w:t>
      </w:r>
    </w:p>
    <w:p>
      <w:r>
        <w:rPr>
          <w:b/>
        </w:rPr>
        <w:t>E. 2.3</w:t>
      </w:r>
    </w:p>
    <w:p>
      <w:r>
        <w:t>En l’espèce, les termes utilisés par le procureur ne prêtent pas le flanc à la critique, compte tenu du fait que le recourant a menti sur sa formation professionnelle, se prétendant titulaire d’un master en droit, qu’il a mal géré l’association, qu’il a ainsi occasionné des pertes à celle-ci, ainsi que des poursuites personnelles aux membres du comité. Au vrai, il semble que la demande de récusation soit avant tout motivée par le fait que le procureur a rendu une décision défavorable au requérant. Ce motif n’emporte cependant pas prévention. Ainsi, en l'absence de circonstances objectives qui feraient redouter une activité partiale du procureur, aucun motif de récusation au sens de l'art. 56 CPP n'est réalisé en l'espèce. 3. Il résulte de ce qui précède que la demande de récusation présentée par P.________ doit être rejetée. IV. Conclusions En définitive, le recours et la requête de récusation déposés par P.________ doivent être rejetés. Le chiffre I de l’ordonnance du 30 juillet 2014 doit être rectifié d’office dans le sens exposé plus haut (cf. c. II/6.3 supra). Cette ordonnance doit être confirmée pour le surplus. La requête de P.________ tendant à l’octroi de l’assistance judiciaire gratuite pour la procédure de recours doit être rejetée, dès lors que le recours apparaissait d’emblée dénué de chances de succès, pour les motifs exposés plus haut (art. 136 al. 1 let. b CPP ; CREP 30 juillet 2014/525 c. 3 ; CREP 17 janvier 2014/16 c. 3). Les frais de la procédure de recours, constitués en l’espèce du seul émolument d’arrêt (art. 422 al. 1 CPP), par 2’090 fr. (art. 20 al. 1 TFIP [Tarif des frais de procédure et indemnités en matière pénale du 28 septembre 2010; RSV 312.03.1]), seront mis à la charge du recourant, qui succombe (art. 428 al. 1 CPP). Par ces motifs, la Chambre des recours pénale prononce : I. La requête de récusation est rejetée. II. Le recours est rejeté. III. Le chiffre I de l’ordonnance du 30 juillet 2014 est rectifié d’office comme il suit : I. Ordonne le classement de la procédure pénale dirigée contre N.________, S.________ et M.________ pour vol, diffamation, contrainte et insoumission à une décision de l’autorité. IV. L’ordonnance du 30 juillet 2014 est confirmée pour le surplus. V. La requête d’assistance judiciaire gratuite pour la procédure de recours est rejetée. VI. Les frais d’arrêt, par 2'090 fr. (deux mille nonante francs), sont mis à la charge de P.________. VII. Le présent arrêt est exécutoire. Le président :               La greffière : Du L'arrêt qui précède, dont la rédaction a été approuvée à huis clos, est notifié, par l'envoi d'une copie complète, à : - M. Dan Bally, avocat (pour P.________), - M. Pritam Singh, avocat (pour N.________, S.________ et M.________), - Ministère public central; et communiqué à : ‑ M. le Procureur de l’arrondissement du Nord vaudois, - Ministère public du canton de Zurich,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3.1</w:t>
      </w:r>
    </w:p>
    <w:p>
      <w:r>
        <w:t>Le recourant soutient que les prévenus se seraient rendus coupables de contrainte, dès lors que ceux-ci auraient fait pression sur lui pour qu’il signe le document du 24 mai 2014.</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 ATF 129 IV 6 c. 3.4 ;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 ATF 120 IV 17 c. 2a/aa).</w:t>
      </w:r>
    </w:p>
    <w:p>
      <w:r>
        <w:rPr>
          <w:b/>
        </w:rPr>
        <w:t>E. 3.3</w:t>
      </w:r>
    </w:p>
    <w:p>
      <w:r>
        <w:t>En l’espèce, on relèvera d’abord que les prévenus avaient des motifs valables de vouloir faire signer au recourant une reconnaissance de responsabilité, au vu des éléments qu’ils avaient découverts et que le recourant a confirmés lors de l’audience de confrontation du 22 mai 2014 (PV aud. 1). En effet, le 11 mai 2013, une employée de l’association engagée à la fin du mois de janvier 2013 a fait part à M.________ de ce qu’elle n’avait reçu aucun salaire. Ensuite de cet événement, les prévenus se sont informés sur la situation financière de l’association et n’ont pu que constater que celle-ci était catastrophique, que les salaires dus et les charges sociales n’avaient pas été payés par le recourant (cf. P. 11/32, 33 et 34), que ce dernier entendait payer son propre mariage par le biais de l’association (cf. P. 19) et que de l’argent semblait avoir disparu. A cela s’ajoute que le recourant a menti aux prévenus s’agissant de sa formation professionnelle. Il s’est en effet prévalu d’un master en droit, en signant au moyen de ce titre et en affichant de faux diplômes aux murs, qu’il a finalement retirés le 29 mai 2014. Il s’est également vanté d’être le directeur d’une société internationale, qu’il a indiquée être « le groupe de société le plus complet au monde dans le domaine juridique » (cf. P. 17), alors qu’en réalité cette société comptait une vingtaine d’employés. Au vu de l’ensemble de ces éléments, la démarche des prévenus, en leur qualité de membres du comité de l’association, de faire signer une reconnaissance de responsabilité au recourant est compréhensible et justifiée. Ensuite, aucun indice ne permet d’appuyer la version du recourant selon laquelle il aurait subi des pressions illicites de la part des prévenus. Au contraire, il résulte du dossier que le jour de la séance où il a signé la reconnaissance de responsabilité, le recourant était accompagné de son compagnon de vie et qu’il était sorti à plusieurs reprises fumer des cigarettes (PV aud. 1, p. 4, lignes 137 ss). Ces éléments viennent appuyer la version des prévenus selon laquelle aucune contrainte n’a été exercée par ceux-ci. En effet, comme le retient le procureur, si le comité avait réellement voulu exercer des pressions illicites sur le recourant, il n’aurait pas fait venir une personne à même de le soutenir. Il n’aurait pas non plus laisser l’occasion au recourant de sortir. A cela s’ajoute que le document litigieux contient la mention selon laquelle il ne s’agit pas d’une reconnaissance de dette. Or un document établi sous la contrainte ne porterait à l’évidence pas une telle mention. Au vu de ce qui précède, les éléments constitutifs de l’infraction de contrainte ne sont pas réalisés. Le recours doit donc être rejeté sur ce point.</w:t>
      </w:r>
    </w:p>
    <w:p>
      <w:r>
        <w:rPr>
          <w:b/>
        </w:rPr>
        <w:t>E. 4.1</w:t>
      </w:r>
    </w:p>
    <w:p>
      <w:r>
        <w:t>Le recourant soutient ensuite que le courrier du 27 mai 2013 serait diffamatoire au sens de l’art. 173 CP.</w:t>
      </w:r>
    </w:p>
    <w:p>
      <w:r>
        <w:rPr>
          <w:b/>
        </w:rPr>
        <w:t>E. 4.2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Les infractions en droit suisse, 3 e éd., vol. I, Berne 2010, n. 54 ad. art. 173 CP, p. 592).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n. 76 ad art. 173 CP).</w:t>
      </w:r>
    </w:p>
    <w:p>
      <w:r>
        <w:rPr>
          <w:b/>
        </w:rPr>
        <w:t>E. 4.3</w:t>
      </w:r>
    </w:p>
    <w:p>
      <w:r>
        <w:t>En l’espèce, la question de savoir si les propos contenus dans le courrier du 27 mai 2013 sont attentatoires à l’honneur peut rester indécise, puisque les prévenus peuvent se prévaloir de l’art. 173 ch. 2 CP. A cet égard, on relèvera d’abord que ceux-ci sont admis aux preuves libératoires, dès lors qu’ils ont agi pour un motif suffisant. En effet, au vu de la situation financière de l’association, le comité a voulu prévenir les personnes que P.________ avait contactées notamment pour des financements ou pour l’engagement de stagiaires, afin que ces personnes puissent prendre leurs dispositions (cf. PV aud. 1, p. 4, lignes 133 ss). Ensuite, dans leur courrier du 27 mai 2013, les prévenus critiquent les compétences professionnelles de P.________ en sa qualité de directeur de l’Association V.________. Or, compte tenu des éléments développés au considérant 3.3 ci-dessus, en particulier de la mauvaise gestion de l’association par le recourant et des mensonges de ce dernier quant à sa formation professionnelle, les prévenus avaient des raisons suffisantes pour croire à la véracité de leurs propos, lesquels étaient au demeurant fondés sur une reconnaissance de responsabilité signée librement le 24 mai 2013 (cf. c. 3.3 ci-dessus). Dans ces circonstances, il y a lieu de considérer que les prévenus ont prouvé qu’ils ont dit vrai ou du moins qu’ils croyaient sincèrement dire vrai (preuve de la vérité ou de la bonne foi). Une condamnation des prévenus pour diffamation apparaît donc exclue. Par conséquent, le recours doit être rejeté sur ce point également.</w:t>
      </w:r>
    </w:p>
    <w:p>
      <w:r>
        <w:rPr>
          <w:b/>
        </w:rPr>
        <w:t>E. 5.1</w:t>
      </w:r>
    </w:p>
    <w:p>
      <w:r>
        <w:t>Le recourant soutient en outre que les prévenus se seraient rendus coupable du vol de la voiture SAAB au sens de l’art. 139 CP.</w:t>
      </w:r>
    </w:p>
    <w:p>
      <w:r>
        <w:rPr>
          <w:b/>
        </w:rPr>
        <w:t>E. 5.2</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L’acte de soustraction constitue un des éléments constitutifs de cette disposition. La soustraction implique la rupture de la possession, qui suppose un acte contraire à la volonté du lésé, faute de quoi il ne saurait être question de vol.</w:t>
      </w:r>
    </w:p>
    <w:p>
      <w:r>
        <w:rPr>
          <w:b/>
        </w:rPr>
        <w:t>E. 5.3</w:t>
      </w:r>
    </w:p>
    <w:p>
      <w:r>
        <w:t>En l’espèce, le recourant a admis avoir acheté le véhicule litigieux au moyen d’un prêt de 5'000 fr. de la part de N.________, qu’il n’a jamais remboursé (PV aud. 1, p. 4, lignes 110 s.). Il a également expliqué que c’était son idée de transférer l’immatriculation de ce véhicule à l’Association V.________, afin de se faire rembourser les frais de déplacement (PV aud. 1, pp. 4 et 5, lignes 112 et 172 ss). Dans son recours, il admet également avoir remis les clés de la voiture aux prévenus. Compte tenu de ces éléments et des circonstances dans lesquelles les prévenus sont entrés en possession de la voiture, on ne saurait considérer qu’il y ait eu soustraction d’une chose mobilière. En outre, contrairement à ce que soutient le recourant, la question de la propriété de la voiture est litigieuse, puisque dans la convention du 19 juin 2013, les prévenus se sont engagés à ne pas vendre le véhicule litigieux en leur possession, ce jusqu’à droit connu au fond sur les droits respectifs des parties sur ce véhicule. Force est dès lors de constater que les éléments constitutifs de vol au sens de l’art. 139 CP ne sont pas réunis. Le recours doit donc être rejeté sur ce point.</w:t>
      </w:r>
    </w:p>
    <w:p>
      <w:r>
        <w:rPr>
          <w:b/>
        </w:rPr>
        <w:t>E. 6.1</w:t>
      </w:r>
    </w:p>
    <w:p>
      <w:r>
        <w:t>Le recourant invoque également une violation de l’art. 292 CP, selon lequel se rend coupable d’insoumission à une décision de l’autorité celui qui ne se sera pas conformé à une décision à lui signifiée, sous la menace de la peine prévue au présent article, par une autorité ou un fonctionnaire compétents. Il soutient que les prévenus auraient contacté la presse après la reddition de l’ordonnance de mesures superprovisionnelles du 31 mai 2013, dont le dispositif leur interdisait d’attenter à son honneur.</w:t>
      </w:r>
    </w:p>
    <w:p>
      <w:r>
        <w:rPr>
          <w:b/>
        </w:rPr>
        <w:t>E. 6.2</w:t>
      </w:r>
    </w:p>
    <w:p>
      <w:r>
        <w:t>En l’espèce, lors de l’audition de confrontation du 22 mai 2014, S.________ et M.________ ont expliqué que le 29 mai 2013, ils avaient trouvés sur Internet des documents concernant le recourant, que le 30 mai 2013, ils avaient contacté par courriel un journaliste (cf. P. 47), que le 31 mai 2013, ils étaient allés voir ce dernier, ignorant à ce moment-là qu’une ordonnance avait été rendue le même jour, que le 3 juin 2013, ils avaient reçu cette ordonnance, que par la suite, le journaliste les avait contactés par téléphone et qu’à cette occasion, ils avaient indiqué à ce dernier qu’ils ne pouvaient plus parler de cette affaire, dès lors qu’une décision judiciaire le leur interdisait, respectivement que le dispositif de cette décision leur interdisait de porter atteinte à l’honneur du recourant (PV aud. 1, pp. 7 et 8). Ces explications sont claires et convaincantes quant à la chronologie des événements. Le recourant n’apporte pas le moindre élément permettant de les remettre en doute. On ne saurait donc considérer que les prévenus se sont rendus coupables d’insoumission à une décision de l’autorité au sens de l’art. 292 CP.</w:t>
      </w:r>
    </w:p>
    <w:p>
      <w:r>
        <w:rPr>
          <w:b/>
        </w:rPr>
        <w:t>E. 6.3</w:t>
      </w:r>
    </w:p>
    <w:p>
      <w:r>
        <w:t>S’agissant de cette infraction, on relèvera que le dispositif de l’ordonnance attaquée ne mentionne pas expressément le classement de la procédure pénale dirigée contre les prévenus pour insoumission à une décision de l’autorité. Cela étant, on peut considérer cette omission comme une simple inattention de la part du Ministère public, respectivement une inadvertance manifeste, dès lors que dans la motivation de son ordonnance, le procureur a indiqué les raisons pour lesquelles cette infraction n’était pas réalisée et a considéré qu’il convenait de classer la procédure sur ce point. Par ailleurs, cela n’a pas empêché le recourant de faire valoir ses moyens. Afin de remédier à de telles carences, l’art. 83 CPP prévoit que l’autorité qui a rendu un prononcé dont le dispositif est peu clair, contradictoire ou incomplet ou qui est en contradiction avec l’exposé des motifs, l’explique ou le rectifie à la demande d’une partie ou d’office. L’inadvertance peut aussi être corrigée d’office par l’autorité de recours (Macaluso, in : Kuhn/Jeanneret (éd.), Commentaire romand, Code de procédure pénale suisse, Bâle 2011, n. 6 ad art. 83 CPP). Au vu de ce qui précède, il convient de rectifier d’office le chiffre I du dispositif de l’ordonnance attaquée en ce sens que le classement de la procédure pénale dirigée contre les prévenus concerne également l’infraction d’insoumission à une décision de l’autorité.</w:t>
      </w:r>
    </w:p>
    <w:p>
      <w:r>
        <w:rPr>
          <w:b/>
        </w:rPr>
        <w:t>E. 7.1</w:t>
      </w:r>
    </w:p>
    <w:p>
      <w:r>
        <w:t>Enfin, le recourant se plaint de la mise à sa charge des frais de procédure, contestant le caractère téméraire de sa plainte pénale.</w:t>
      </w:r>
    </w:p>
    <w:p>
      <w:r>
        <w:rPr>
          <w:b/>
        </w:rPr>
        <w:t>E. 7.2</w:t>
      </w:r>
    </w:p>
    <w:p>
      <w:r>
        <w:t>Le sort des frais de procédure à l'issue de celle-ci est régi par les art. 422 ss CPP. En principe, ils sont mis à la charge de la Confédération ou du canton qui a conduit la procédure, les dispositions contraires du CPP étant réservées (art. 423 al. 1 CPP).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Kuhn/ Jeanneret [éd.], op. cit., n. 5 ad art. 427 CPP; Domeisen, in: Niggli/Heer/ Wiprächtiger [éd.], op. cit., nn. 8 à 12 ad art. 427 CPP; Griesser, in: Donatsch/ 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Cette disposition ne permet pas d'imputer les frais de procédure à la partie plaignante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w:t>
      </w:r>
    </w:p>
    <w:p>
      <w:r>
        <w:rPr>
          <w:b/>
        </w:rPr>
        <w:t>E. 7.3</w:t>
      </w:r>
    </w:p>
    <w:p>
      <w:r>
        <w:t>En l’espèce, l’enquête qui a abouti au classement de la procédure pénale en faveur des prévenus était ouverte tant pour une infraction se poursuivant sur plainte (diffamation) que pour des infractions se poursuivant d'office (vol, contrainte et insoumission à une décision de l’autorité), de sorte que les art. 420 et 427 al. 2 CPP entrent en ligne de compte. Dès lors, pour mettre les frais de procédure à la charge du recourant, il faut que ce dernier ait agi avec témérité ou négligence grave en déposant plainte pénale contre les prévenus. Or tel est bien le cas en l’espèce. En effet, le recourant a menti aux prévenus sur sa formation, il a mal géré l’Association et a occasionné des pertes à celle-ci. Dans ces conditions, les griefs formulés à l’encontre des membres de son comité, tous écartés, l’ont été de manière pour le moins légère. Ainsi, le fait de déposer une plainte pénale à l’encontre des prévenus relevait de la témérité. Un plaideur raisonnable n’aurait en l’espèce pas provoqué l’ouverture d’une procédure pénale. Partant, au regard des art. 420 et 427 al. 2 CPP, c’est à juste titre que le procureur a mis les frais de procédure à la charge de P.________. Le recours de ce dernier doit donc également être rejeté sur ce point.</w:t>
      </w:r>
    </w:p>
    <w:p>
      <w:r>
        <w:rPr>
          <w:b/>
        </w:rPr>
        <w:t>E. 8</w:t>
      </w:r>
    </w:p>
    <w:p>
      <w:r>
        <w:t>Au vu de l’ensemble des considérations qui précèdent, c’est à juste titre que le procureur a classé la procédure pénale dirigée contre N.________, S.________ et M.________ pour vol, diffamation, contrainte et insoumission à une décision de l’autorité, et qu’il a mis les frais de procédure à la charge de P.________. Le recours de ce dernier doit donc être rejeté dans son entier. III. Requête de récusation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P.________ à l'encontre du Procureur R.________ (art. 13 LVCPP).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