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961 vom 27. August 2014</w:t>
      </w:r>
    </w:p>
    <w:p>
      <w:r>
        <w:t>VD Tribunal cantonal, 2014-08-27, FR</w:t>
      </w:r>
    </w:p>
    <w:p>
      <w:r>
        <w:rPr>
          <w:b/>
        </w:rPr>
        <w:t xml:space="preserve">Quelle: </w:t>
      </w:r>
      <w:r>
        <w:t>https://mcp.opencaselaw.ch/entscheid/vd_findinfo_D_cision___2014___961</w:t>
      </w:r>
    </w:p>
    <w:p>
      <w:r>
        <w:t>FR: VD_FINDINFO Décision / 2014 / 961 du 27 août 2014</w:t>
      </w:r>
    </w:p>
    <w:p>
      <w:r>
        <w:t>IT: VD_FINDINFO Décision / 2014 / 961 del 27 agosto 2014</w:t>
      </w:r>
    </w:p>
    <w:p>
      <w:pPr>
        <w:pStyle w:val="Heading2"/>
      </w:pPr>
      <w:r>
        <w:t>Regeste</w:t>
      </w:r>
    </w:p>
    <w:p>
      <w:r>
        <w:t>DIFFAMATION, PREUVE LIBÉRATOIRE | 173 CP, 319 CPP (CH), 393 al. 1 let. a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l’espèce, interjeté en temps utile par la partie plaignante qui a qualité pour recourir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CPP).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des preuves par l'autorité de jugement, ne s'applique donc pas. C'est au contraire la maxime "in dubio pro duriore" qui impose, en cas de doute, une mise en accusation (ATF 137 IV 219; ATF 138 IV 86 c. 4.1.1; ATF 138 IV 186).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3.1</w:t>
      </w:r>
    </w:p>
    <w:p>
      <w:r>
        <w:t>Selon l'art. 173 CP (Code pénal suisse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Cette disposition protège essentiellement l’honneur personnel, soit la réputation et le sentiment d’être un homme honorable, de se comporter, en d’autres termes, comme un homme digne a coutume de le faire selon les idées généralement reçues (Favre/Pellet/Stoudmann, Code pénal annoté, 3 e édition, Lausanne 2007, n. 1.5 ad art. 173 CP; ATF 137 IV 313). Quant au degré d'intensité requis, la personne visée par l'atteinte à l'honneur doit apparaître comme méprisable (Dupuis et al., Code pénal, Petit commentaire, Bâle 2012, rem. prél. aux art. 173 à 178 CP, n. 4). Pour déterminer si une déclaration est attentatoire à l'honneur, il ne faut pas se fonder sur le sens que lui donne la personne visée, mais sur une interprétation objective selon le sens qu'un destinataire non prévenu doit, dans les circonstances données, lui attribuer. Accuser une personne de la commission d'une infraction pénale ou d'un acte réprouvé par les conceptions généralement admises est typiquement un cas d'atteinte à l'honneur (cf. Dupuis et al., op. cit., rem. prél. aux art. 173 à 178 CP, n. 5).</w:t>
      </w:r>
    </w:p>
    <w:p>
      <w:r>
        <w:rPr>
          <w:b/>
        </w:rPr>
        <w:t>E. 3.2</w:t>
      </w:r>
    </w:p>
    <w:p>
      <w:r>
        <w:t>En l'espèce, contrairement à ce qu'a retenu le Ministère public, le fait que W.________ a soutenu que M.________ l'avait frappé avant de lui voler sa bourse est, en soi, clairement attentatoire à l'honneur. Certes, la preuve libératoire pourrait être rapportée en produisant un jugement de condamnation de M.________ (Dupuis et al, op. cit., ad art. 173 CP, n. 32). Or, si le procureur a bien rendu une ordonnance pénale contre M.________ dans le cas particulier, celle-ci a été frappée d'opposition et la cause est aujourd'hui en mains du Tribunal d'arrondissement comme objet de sa compétence (P. 42). Cette condamnation n'est donc pas définitive. Cela étant, la présente cause, en tant qu'elle concerne la plainte déposée par M.________ contre W.________, doit être suspendue jusqu'à droit connu sur le sort de la plainte déposée par W.________ contre M.________ à la suite des événements du 23 juin 2012.</w:t>
      </w:r>
    </w:p>
    <w:p>
      <w:r>
        <w:rPr>
          <w:b/>
        </w:rPr>
        <w:t>E. 4</w:t>
      </w:r>
    </w:p>
    <w:p>
      <w:r>
        <w:t>En définitive, le recours doit être admis. L'ordonnance attaquée sera maintenue en tant qu'elle concerne l'enquête dirigée contre W.________ pour voies de fait, à la suite de la plainte d' [...] et annulée pour le surplus, la cause étant renvoyée au procureur de l'arrondissement de Lausanne pour qu'il procède dans le sens des considérants. Les frais de la procédure de recours, constitués en l’espèce du seul émolument d'arrêt (art. 422 al. 1 CPP), par 770 fr. (art. 20 al. 1 TFIP [Tarif des frais de procédure et indemnités en matière pénale du 28 septembre 2010; RSV 312.03.1]), seront mis à la charge de l'intimé, qui succombe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18 juin 2014 est maintenue en tant qu'elle classe la procédure ouverte contre W.________ pour voies de fait et annulée pour le surplus. III . Le dossier est retourné au procureur afin qu'il procède dans le sens des considérants. IV. Les frais de la procédure de recours, par 770 fr. (sept cent septante francs), sont mis à la charge de W.________. V. Le présent arrêt est exécutoire. Le président :               La greffière : Du L'arrêt qui précède, dont la rédaction a été approuvée à huis clos, est notifié, par l'envoi d'une copie complète, à : - M. Habib Tabet, avocat (pour M.________), - M. Tony Donnet-Monay, avocat (pour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