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960 vom 6. November 2014</w:t>
      </w:r>
    </w:p>
    <w:p>
      <w:r>
        <w:t>VD Tribunal cantonal, 2014-11-06, FR</w:t>
      </w:r>
    </w:p>
    <w:p>
      <w:r>
        <w:rPr>
          <w:b/>
        </w:rPr>
        <w:t xml:space="preserve">Quelle: </w:t>
      </w:r>
      <w:r>
        <w:t>https://mcp.opencaselaw.ch/entscheid/vd_findinfo_D_cision___2014___960</w:t>
      </w:r>
    </w:p>
    <w:p>
      <w:r>
        <w:t>FR: VD_FINDINFO Décision / 2014 / 960 du 6 novembre 2014</w:t>
      </w:r>
    </w:p>
    <w:p>
      <w:r>
        <w:t>IT: VD_FINDINFO Décision / 2014 / 960 del 6 novembre 2014</w:t>
      </w:r>
    </w:p>
    <w:p>
      <w:pPr>
        <w:pStyle w:val="Heading2"/>
      </w:pPr>
      <w:r>
        <w:t>Regeste</w:t>
      </w:r>
    </w:p>
    <w:p>
      <w:r>
        <w:t>RISQUE DE RÉCIDIVE, DÉTENTION PROVISOIRE, COMMERCE DE STUPÉFIANTS | 221 al. 1 let. c CPP (CH),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détention provisoire ou pour des motifs de sûreté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w:t>
      </w:r>
    </w:p>
    <w:p>
      <w:r>
        <w:rPr>
          <w:b/>
        </w:rPr>
        <w:t>E. 2.2</w:t>
      </w:r>
    </w:p>
    <w:p>
      <w:r>
        <w:t>En l’espèce, le recourant est mis en cause essentiellement pour avoir participé, avec d’autres prévenus, à un important trafic de marijuana. Les soupçons contre lui, qu’il ne conteste pas, résultent de la perquisition opérée à son domicile. Cette mesure a amené la découverte d’une quantité importante de matériel destiné au conditionnement de la drogue, ainsi que d’un petit carnet bleu, dans lequel sont inscrits les gains obtenus, soit 50'000 fr. pour la période comprise entre le 3 et le 21 mai 2014. Plusieurs armes ont en outre été saisies lors de la perquisition.</w:t>
      </w:r>
    </w:p>
    <w:p>
      <w:r>
        <w:rPr>
          <w:b/>
        </w:rPr>
        <w:t>E. 3</w:t>
      </w:r>
    </w:p>
    <w:p>
      <w:r>
        <w:t>Le recourant conteste l’existence du risque de récidive retenu par le Tribunal des mesures de contrainte.</w:t>
      </w:r>
    </w:p>
    <w:p>
      <w:r>
        <w:rPr>
          <w:b/>
        </w:rPr>
        <w:t>E. 3.1</w:t>
      </w:r>
    </w:p>
    <w:p>
      <w:r>
        <w:t>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3.2</w:t>
      </w:r>
    </w:p>
    <w:p>
      <w:r>
        <w:t>En l’espèce, il ressort de l’extrait du casier judiciaire que le recourant, né en 1995, a été condamné le 1 er mai 2013 par le Tribunal des mineurs, pour lésions corporelles simples, rixe, agression, opposition aux actes de l’autorité et infraction à la LArm, à deux mois de privation de liberté, dont un mois assorti d’un délai d’épreuve de 18 mois. Le recourant n’a certes jamais été condamné pour des infractions de même nature que celles qui lui valent les présentes poursuites pénales, soit le trafic de drogue. Il peut toutefois en être tenu compte dans l’appréciation du risque de récidive, les faits incriminés reposant sur des éléments suffisamment probants (TF 1B_156/2013 du 8 mai 2013 c. 3.2). Ces faits sont graves, puisque le recourant, comme le suggèrent les gains de 50'000 fr. obtenus en moins de trois semaines, est soupçonné de s’être livré assidûment avec ses comparses à un trafic portant sur une importante quantité de marijuana. Or, un trafic de cette ampleur, quand bien même il ne porte que sur de la marijuana, est de nature à compromettre sérieusement la sécurité d’autrui, au sens de l’art. 221 al. 1 let. c CPP (TF 1B_156/2013 du</w:t>
      </w:r>
    </w:p>
    <w:p>
      <w:r>
        <w:rPr>
          <w:b/>
        </w:rPr>
        <w:t>E. 8</w:t>
      </w:r>
    </w:p>
    <w:p>
      <w:r>
        <w:t>mai 2013 c. 3.2 ; TF 1B_562/2012 du 17 octobre 2012 ; CREP 27 mars 2013/171). Quant à la situation personnelle du recourant, elle est instable. Il est actuellement à la recherche d’un emploi dans la restauration et occupe une chambre chez ses parents. Il n’a pas d’économies et a des dettes pour 5'000 ou 6'000 francs (PV d’audition de police du 4 juin 2014, p. 2). Dans ces circonstances, il est à craindre qu’en cas de mise en liberté provisoire, le recourant, pour améliorer ses moyens d’existence, ne recommence à se livrer au trafic de marijuana. Le risque de récidive, bien réel, justifie son maintien en liberté provisoire. 4. Le recourant invoque une violation du principe de proportionnalité. 4.1 La proportionnalité de la détention provisoire (cf. art. 212 al. 3 CPP)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4.2 En l’espèce, le recourant est détenu provisoirement depuis cinq mois. Prévenu d’infraction grave à la LStup, au sens de l’art. 19 al. 1 et 2 let. b, il est exposé à une peine privative de liberté d’un an au moins. Dans l’évaluation de la peine prévisible, il convient également de tenir compte de ses antécédents. Au total, l’intéressé doit s’attendre, en cas de condamnation, au prononcé d’une peine privative de liberté nettement supérieure à celle de la détention provisoire subie à jour. Quant au jeune âge du recourant, il ne suffit pas à rendre la détention disproportionnée du point de vue de sa durée. C’est un élément à prendre considération au stade du jugement, lorsqu’il s’agira de fixer la peine. 4.3 Les mesures de substitution proposées par le recourant (art. 237 CPP) – dépôt des pièces d’identité, interdiction d’entretenir des relations avec certaines personnes, surveillance électronique ou assignation à résidence – ne sont pas propres à parer au risque de récidive. Ces mesures, pour l’essentiel, visent avant tout à prévenir le risque de fuite, lequel n’est pas retenu dans le cas présent. 5. Il résulte de ce qui précède que le recours, manifestement mal fondé, doit être rejeté sans autres échanges d’écritures. Les frais de la procédure de recours, constitués en l’espèce de l'émolument d'arrêt (art. 422 al. 1 CPP), par 660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22 octobre 2014  est confirmée. III. L'indemnité allouée au défenseur d'office de Q.________ est fixée à 583 fr. 20 (cinq cent huitante-trois francs et vingt centimes). IV. Les frais du présent arrêt, par 660 fr. (six cent soixante francs), ainsi que l'indemnité due au défenseur d'office de Q.________, par 583 fr. 20 (cinq cent huitante-trois francs et vingt centimes), sont mis à la charge de ce dernier. V. Le remboursement à l'Etat de l'indemnité allouée au chiffre III ci-dessus sera exigible pour autant que la situation de Q.________ se soit améliorée. VI. Le présent arrêt est exécutoire. Le président :               Le greffier : Du L'arrêt qui précède, dont la rédaction a été approuvée à huis clos, est notifié, par l'envoi d'une copie complète, à : - M. Laurent Fischer, avocat (pour Q.________),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