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96 vom 4. Februar 2014</w:t>
      </w:r>
    </w:p>
    <w:p>
      <w:r>
        <w:t>VD Tribunal cantonal, 2014-02-04, FR</w:t>
      </w:r>
    </w:p>
    <w:p>
      <w:r>
        <w:rPr>
          <w:b/>
        </w:rPr>
        <w:t xml:space="preserve">Quelle: </w:t>
      </w:r>
      <w:r>
        <w:t>https://mcp.opencaselaw.ch/entscheid/vd_findinfo_D_cision___2014___96</w:t>
      </w:r>
    </w:p>
    <w:p>
      <w:r>
        <w:t>FR: VD_FINDINFO Décision / 2014 / 96 du 4 février 2014</w:t>
      </w:r>
    </w:p>
    <w:p>
      <w:r>
        <w:t>IT: VD_FINDINFO Décision / 2014 / 96 del 4 febbraio 2014</w:t>
      </w:r>
    </w:p>
    <w:p>
      <w:pPr>
        <w:pStyle w:val="Heading2"/>
      </w:pPr>
      <w:r>
        <w:t>Regeste</w:t>
      </w:r>
    </w:p>
    <w:p>
      <w:r>
        <w:t>DROIT D'ÊTRE ENTENDU, MOTIVATION DE LA DÉCISION, RISQUE DE FUITE, PROPORTIONNALITÉ | 29 al. 2 Cst., 212 al. 3 CPP (CH), 221 al. 1 let. a CPP (CH)</w:t>
      </w:r>
    </w:p>
    <w:p>
      <w:pPr>
        <w:pStyle w:val="Heading2"/>
      </w:pPr>
      <w:r>
        <w:t>Erwägungen</w:t>
      </w:r>
    </w:p>
    <w:p>
      <w:r>
        <w:rPr>
          <w:b/>
        </w:rPr>
        <w:t>E. 1</w:t>
      </w:r>
    </w:p>
    <w:p>
      <w:r>
        <w:t>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par le détenu devant l’autorité compétente et qui satisfait aux conditions de forme posées par l’art. 385 al. 1 CPP.</w:t>
      </w:r>
    </w:p>
    <w:p>
      <w:r>
        <w:rPr>
          <w:b/>
        </w:rPr>
        <w:t>E. 2</w:t>
      </w:r>
    </w:p>
    <w:p>
      <w:r>
        <w:t>a) Le recourant soulève les griefs de défaut de motivation, de déni de justice, respectivement de constatation incomplète des faits, et d’inopportunité de l’ordonnance attaquée. Il reproche au Tribunal des mesures de contrainte de n’avoir pas examiné les moyens invoqués dans ses déterminations du 21 janvier 2014, mais de s’être borné à les résumer (ordonnance attaquée, c. 6). b) L e droit d'être entendu, garanti tant par l'art. 29 al. 2 Cst. (Constitution fédérale de la Confédération suisse du 18 avril 1999; RS 101) que par l'art. 27 al. 2 Cst-VD (Constitution du Canton de Vaud du 14 avril 2003; RSV 101.01), comporte celui de recevoir une décision suffisamment motivée. L'objet et la précision des indications à fournir dépend de la nature de l'affaire et des circonstances particulières du cas; néanmoins, en règle générale, il suffit que l'autorité mentionne au moins brièvement les motifs qui l'ont guidée, permettant ainsi au justiciable d’apprécier correctement la portée de la décision et de l'attaquer à bon escient et à l’autorité de recours d’exercer son contrôle (ATF 138 I 232 c. 5.1 et les références citées). Le droit d’être entendu est un droit de nature formelle, dont la violation doit entraîner en principe l'annulation de la décision attaquée (ATF 122 IV 8; ATF 121 I 230). Toutefois, la jurisprudence du Tribunal fédéral admet qu'une telle irrégularité peut être réparée lorsque l'intéressé peut s'exprimer librement devant une autorité de recours disposant du même pouvoir d'examen que l'autorité de première instance, et qui peut ainsi contrôler librement la décision attaquée (ATF 133 I 201 c. 2.2; ATF 129 I 129 c. 2.2.3; TF 1B_36/2010 du 19 août 2010). La Chambre des recours pénale dispose d'un tel pouvoir d'examen, permettant de guérir le vice (art. 391 al. 1 CPP; CREP 14 mars 2011/46). c) En l’espèce, l’ordonnance attaquée expose les faits déterminants en droit et l’appréciation juridique que l’autorité en déduit. Le premier juge n’était pas obligé de discuter tous les arguments invoqués par le recourant. Au demeurant, la motivation de l’ordonnance a permis à ce dernier d’en contester tous les points qu’il entendait soumettre à la cognition de la chambre de céans. Elle apparaît ainsi suffisante au regard des exigences déduites de l’ordre constitutionnel. Par surabondance, même si la motivation de l’ordonnance devait être tenue pour insuffisante, la partie a eu la faculté de faire valoir ses moyens devant une autorité de recours disposant d’un plein pouvoir d'examen, et qui peut ainsi contrôler librement la décision attaquée conformément à la jurisprudence fédérale résumée ci-dessus. Le moyen tiré d’un défaut de motivation est donc infondé. Il en va de même des griefs de déni de justice et d’inopportunité, qui doivent donc être rejetés pour les motifs susmentionnés.</w:t>
      </w:r>
    </w:p>
    <w:p>
      <w:r>
        <w:rPr>
          <w:b/>
        </w:rPr>
        <w:t>E. 3</w:t>
      </w:r>
    </w:p>
    <w:p>
      <w:r>
        <w:t>janvier 2014 pour prétendre avoir cru "de bonne foi (…) qu’il serait libéré et renvoyé de France à l’issue de sa détention provisoire" (recours, p. 3 in fine ). Enfin, contrairement à ce qu’il soutient, un avis de transfert ne constitue pas une décision, le Ministère public n’étant de toute façon pas compétent pour ordonner un renvoi de Suisse. Mal fondé, ce moyen doit donc également être rejeté.</w:t>
      </w:r>
    </w:p>
    <w:p>
      <w:r>
        <w:rPr>
          <w:b/>
        </w:rPr>
        <w:t>E. 4</w:t>
      </w:r>
    </w:p>
    <w:p>
      <w:r>
        <w:t>Pour le reste, l’ordonnance attaquée apparaît bien fondée. 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Selon l’art. 212 al. 3 CPP, la détention provisoire et la détention pour des motifs de sûreté ne doivent pas durer plus longtemps que la peine privative de liberté prévisible. b) La mise en détention provisoire ou pour des motifs de sûreté n’est possible que s’il existe à l’égard de l’auteur présumé, et préalablement à toute autre cause, de graves soupçons de culpabilité d’avoir commis un crime ou un délit (ATF 139 IV 186 c. 2; Schmocker, in: Kuhn/Jeanneret [éd.], Commentaire romand, Code de procédure pénale suisse, Bâle 2011, nn. 7 ss ad art. 221 CPP, pp. 1024 ss). En l’espèce, au vu des éléments figurant au dossier, notamment des déclarations de V.________, qui, dans ses déterminations du 21 janvier 2014, a reconnu "pour l’essentiel" les faits qui lui sont reprochés (cf. ég. PV aud. du 13 novembre 2013, lignes 26 ss), et de la découverte, dans la voiture occupée par les prévenus au moment de leur interpellation, des objets dérobés appartenant aux plaignants et des sprays au poivre, c’est à juste titre que le prénommé ne conteste pas l’existence de soupçons suffisants. C’est précisément en raison de tels soupçons que la mise en accusation du recourant a été prononcée (cf. art. 324 al. 1 CPP). c) L’ordonnance se fonde notamment sur le risque de fuite (art. 221 al. 1 let. a CPP).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La gravité de l’infraction ne peut pas, à elle seule, justifier la prolongation de la détention, même si elle permet souvent de présumer un danger de fuite en raison de l’importance de la peine dont le prévenu est menacé ( ibidem ). En l’espèce, le prévenu, ressortissant d’Algérie, ne peut se prévaloir d'aucune attache avec la Suisse, si ce n'est l'activité délictueuse qui lui est reprochée. Compte tenu des charges qui pèsent contre lui et de la peine à laquelle il s'expose en cas de condamnation, il y a fort à craindre qu'il tente de se soustraire aux conséquences pénales de ses actes en se réfugiant en France, pays dans lequel il est domicilié, d’autant plus qu’il ne bénéficie d’aucun document l’autorisant à voyager dans l’espace Schengen. Le risque de fuite est dès lors réalisé. Il n’est d’ailleurs pas contesté par le recourant. Au surplus, aucune mesure de substitution n’est susceptible de pallier ce risque (art. 212 al. 2 let. c CPP). Concernant le respect du principe de proportionnalité (art. 212 al. 3 CPP),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Le principe est également valable pour la détention pour des motifs de sûreté. En l’espèce, le recourant est détenu avant jugement depuis le 6 juillet 2013. Ainsi, aux débats fixés au 4 mars 2014, il aura été détenu pendant huit mois. Contrairement à ce qu’il prétend (déterminations du 21 janvier 2014, p. 1 in fine ), les charges qui pèsent sur lui sont graves. En effet, prévenu notamment de brigandage en bande, il encourt à ce seul titre une peine privative de liberté de deux ans au moins. Même si cette qualification ne devait finalement pas être retenue, il est, compte tenu de la nature des actes qui lui sont reprochés et du concours d’infractions, exposé au prononcé d’une peine privative de liberté nettement supérieure à la durée de la détention qu’il aura subie au moment du jugement, étant rappelé à cet égard que sauf circonstances exceptionnelles, l'absence d'antécédents a un effet neutre sur la fixation de la peine et n'a donc plus à être prise en considération dans un sens atténuant (ATF 136 IV 1 c. 2.6.4; cf. déterminations du 21 janvier 2014, p. 1 in fine ). Le principe de la proportionnalité, sous l’angle de la durée de la détention avant jugement (art. 212 al. 3 CPP), est donc respecté.</w:t>
      </w:r>
    </w:p>
    <w:p>
      <w:r>
        <w:rPr>
          <w:b/>
        </w:rPr>
        <w:t>E. 5</w:t>
      </w:r>
    </w:p>
    <w:p>
      <w:r>
        <w:t>En définitive, le recours se révèle manifestement mal fondé, de sorte qu'il doit être rejeté sans autre échange d'écritures (art. 390 al. 2 CPP) et l'ordonnance attaquée confirmée. Les frais de la procédure de recours, constitués en l'espèce de l'émolument d'arrêt, par 990 fr. (art. 20 al. 1 TFJP [tarif des frais judiciaires pénaux; RSV 31.03.1]) et des frais imputables à la défense d'office (art. 422 al. 1 et 2 let. a CPP), fixés à 360 fr., plus la TVA par 28 fr. 80, soit 388 fr. 80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23 janvier 2014 est confirmée. III. L'indemnité allouée au défenseur d'office de V.________ est fixée à 388 fr. 80 (trois cent huitante-huit francs et huitante centimes). IV. Les frais d’arrêt, par 990 fr. (neuf cent nonante francs), ainsi que l’indemnité due au défenseur d’office de V.________ selon le chiffre III ci-dessus, sont mis à la charge de ce dernier. V. Le remboursement à l'Etat de l'indemnité allouée au chiffre III ci-dessus ne sera exigible que pour autant que la situation économique de V.________ se soit améliorée. VI . Le présent arrêt est exécutoire. Le président :               Le greffier : Du L'arrêt qui précède, dont la rédaction a été approuvée à huis clos, est notifié, par l'envoi d'une copie complète, à : - M. Vincent Demierrre, avocat (pour V.________), - Ministère public central, et communiqué à : ‑ M. le Président du Tribunal des mesures de contrainte, - Mme la Procureure de l’arrondissement de Lausanne, - Mme la Présidente du Tribunal correctionnel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