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950 vom 10. Oktober 2014</w:t>
      </w:r>
    </w:p>
    <w:p>
      <w:r>
        <w:t>VD Tribunal cantonal, 2014-10-10, FR</w:t>
      </w:r>
    </w:p>
    <w:p>
      <w:r>
        <w:rPr>
          <w:b/>
        </w:rPr>
        <w:t xml:space="preserve">Quelle: </w:t>
      </w:r>
      <w:r>
        <w:t>https://mcp.opencaselaw.ch/entscheid/vd_findinfo_D_cision___2014___950</w:t>
      </w:r>
    </w:p>
    <w:p>
      <w:r>
        <w:t>FR: VD_FINDINFO Décision / 2014 / 950 du 10 octobre 2014</w:t>
      </w:r>
    </w:p>
    <w:p>
      <w:r>
        <w:t>IT: VD_FINDINFO Décision / 2014 / 950 del 10 ottobre 2014</w:t>
      </w:r>
    </w:p>
    <w:p>
      <w:pPr>
        <w:pStyle w:val="Heading2"/>
      </w:pPr>
      <w:r>
        <w:t>Regeste</w:t>
      </w:r>
    </w:p>
    <w:p>
      <w:r>
        <w:t>JONCTION DE CAUSES, UNITÉ DE LA PROCÉDURE | 29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d’un recours immédiat au sens des art. 393 ss CPP (Stephenson/Thiriet, in: Niggli/Heer/Wiprächtiger [éd.], Basler Kommentar, Schweizerische Strafprozessordnung, Jugendstrafprozessordnung, Bâle 2011, n. 10 ad art. 393 CPP; CREP 25 mai 2012/305; CREP 10 avril 2012/225 c. 1a; CREP 22 mars 2012/193 c. 1).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dans le délai légal auprès de l’autorité compétente par une partie qui a qualité pour recourir (cf. art. 382 al. 1 CPP) et satisfaisant aux conditions de forme posées par l’art. 385 al. 1 CPP, le recours est recevable.</w:t>
      </w:r>
    </w:p>
    <w:p>
      <w:r>
        <w:rPr>
          <w:b/>
        </w:rPr>
        <w:t>E. 2.1</w:t>
      </w:r>
    </w:p>
    <w:p>
      <w:r>
        <w:t>A l'appui de son ordonnance, le Ministère public a considéré que les causes étaient connexes. La recourante soutient que la jonction de procédures pénales serait une possibilité offerte au Ministère public pour autant que des motifs objectifs la justifient. Or, en l'espèce, les infractions en cause seraient de natures différentes et auraient été commises à l'encontre de personnes ou d'intérêts foncièrement divergents. Les agissements litigieux étant indépendants les uns des autres, il n'existerait pas de motif objectif justifiant une jonction. Au contraire, des motifs objectifs justifieraient qu'il y soit renoncé. En bref, K.________ ferait preuve d'acharnement à l'encontre de la recourante, qui conteste avoir commis les actes que celui-ci lui reproche, et on croit comprendre que la recourante considère qu'il serait problématique que l'intéressé puisse intervenir dans l'ensemble des affaires pénales la concernant. En particulier, le chef de prévention de contravention à la LStup ne concernerait nullement les personnes impliquées dans les autres procédures pénales.</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procédure la règle, dans un but d'économie de procédure, mais aussi dans celui de prévenir des décisions contraires (cf. ATF 138 IV 214 c. 3.2; cf. ég. Moreillon/Parein-Reymond, Petit Commentaire du Code de procédure pénale, Bâle 2013, n. 2 ad art. 30 CPP). La disjonction doit dès lors être fondée sur des motifs concrets et objectifs (ATF 138 IV 214 c. 3.2). Elle doit avant tout servir à garantir la rapidité de la procédure, respectivement à éviter un retard inutile (ATF 138 IV 214 c. 3.2 et les références citées). La doctrine cite les exemples de la prescription imminente de certaines des infractions poursuivies ou de la situation où certains prévenus sont hors d'atteinte (ibidem). En revanche, de simples motifs de commodité ne sauraient justifier une disjonction (Bertossa in : Kuhn/Jeanneret (éd.), Commentaire romand, Code de procédure pénale suisse, Bâle 2011, n. 2 ad art. 30 CPP).</w:t>
      </w:r>
    </w:p>
    <w:p>
      <w:r>
        <w:rPr>
          <w:b/>
        </w:rPr>
        <w:t>E. 2.3</w:t>
      </w:r>
    </w:p>
    <w:p>
      <w:r>
        <w:t>En l'espèce, dès l'instant où la recourante est prévenue dans les trois enquêtes en cause, on se trouve clairement dans l'hypothèse visée à l'art. 29 al. 1 let. a CPP, de sorte que les infractions en cause doivent en principe être poursuivies et jugées conjointement. Contrairement à ce que soutient la recourante, l'unité de la procédure est la règle et aucune raison objective de s'en écarter ne ressort du dossier. En particulier, la prétendue animosité de K.________ à l'encontre de la recourante ne saurait être considérée comme un motif suffisant. S'agissant de la contravention à la LStup, elle n'est pas directement concernée par l'ordonnance de jonction attaquée, car elle a en réalité toujours été instruite dans le cadre de la procédure "de base" n° PE12.009881-NKS (cf. PV des opérations, p. 6, opération du 13 août 2013), contrairement à ce qu'indique l'acte de recours (p. 3). Au vu de ce qui précède, c'est à raison que le Ministère public a ordonné la jonction des procédures pénales en cause.</w:t>
      </w:r>
    </w:p>
    <w:p>
      <w:r>
        <w:rPr>
          <w:b/>
        </w:rPr>
        <w:t>E. 3</w:t>
      </w:r>
    </w:p>
    <w:p>
      <w:r>
        <w:t>En définitive, le recours doit être rejeté sans autre échange d’écritures (art. 390 al. 2 CPP) et l'ordonnance attaquée confirmée. Les frais de la procédure de recours, constitués en l'espèce uniquement de l'émolument d’arrêt,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25 septembre 2014 est confirmée. III. Les frais de la procédure de recours, par 550 fr. (cinq cent cinquante francs), sont mis à la charge d'A.________. IV. Le présent arrêt est exécutoire. Le président :               Le greffier : Du L'arrêt qui précède, dont la rédaction a été approuvée à huis clos, est notifié, par l'envoi d'une copie complète, à : - M. Robert Lei Ravello, avocat (pour A.________), - M. Olivier Couchepin, avocat (pour K.________), - M. Julien Gafner, avocat (pour X.________), - M. Alex Wagner, avocat (pour Q.________), - Service de prévoyance et d'aide sociales,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