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945 vom 19. September 2014</w:t>
      </w:r>
    </w:p>
    <w:p>
      <w:r>
        <w:t>VD Tribunal cantonal, 2014-09-19, FR</w:t>
      </w:r>
    </w:p>
    <w:p>
      <w:r>
        <w:rPr>
          <w:b/>
        </w:rPr>
        <w:t xml:space="preserve">Quelle: </w:t>
      </w:r>
      <w:r>
        <w:t>https://mcp.opencaselaw.ch/entscheid/vd_findinfo_D_cision___2014___945</w:t>
      </w:r>
    </w:p>
    <w:p>
      <w:r>
        <w:t>FR: VD_FINDINFO Décision / 2014 / 945 du 19 septembre 2014</w:t>
      </w:r>
    </w:p>
    <w:p>
      <w:r>
        <w:t>IT: VD_FINDINFO Décision / 2014 / 945 del 19 settembre 2014</w:t>
      </w:r>
    </w:p>
    <w:p>
      <w:pPr>
        <w:pStyle w:val="Heading2"/>
      </w:pPr>
      <w:r>
        <w:t>Regeste</w:t>
      </w:r>
    </w:p>
    <w:p>
      <w:r>
        <w:t>DÉCISION D'IRRECEVABILITÉ, DIFFAMATION | 173 ch. 1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Interjetés dans le délai légal auprès de l’autorité compétente par des parties plaignantes, qui ont la qualité pour recourir (cf. art. 382 al. 1 CPP), les recours sont recevables.</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Selon l'art. 173 ch. 1 CP (Code pénal suisse du 21 décembre 1937; RS 311.0), se rend l'auteur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w:t>
      </w:r>
    </w:p>
    <w:p>
      <w:r>
        <w:rPr>
          <w:b/>
        </w:rPr>
        <w:t>E. 2.3</w:t>
      </w:r>
    </w:p>
    <w:p>
      <w:r>
        <w:t>En l'espèce, le Ministère public a considéré que les éléments constitutifs des infractions mentionnées dans les plaintes n'étaient manifestement pas réunis, au motif que l'interdiction d'accès était une démarche administrative qui n'était adressée qu'aux intéressés et aux autorités, lesquelles savaient faire la part des choses. Même si les plaignants n'étaient jamais allés dans l'établissement en cause, il n'était pas choquant que M.________ leur ait adressé une interdiction "à titre préventif" au vu des démêlés pénaux et civils qui les opposaient. De plus, comme les plaignants indiquaient ne jamais se rendre dans l'établissement en cause, une contrainte apparaissait exclue. Enfin, il y avait de toute manière lieu de renoncer à l'ouverture d'une poursuite pénale pour des motifs d'opportunité (cf. art. 8 CPP et 52 CP).</w:t>
      </w:r>
    </w:p>
    <w:p>
      <w:r>
        <w:rPr>
          <w:b/>
        </w:rPr>
        <w:t>E. 2.4</w:t>
      </w:r>
    </w:p>
    <w:p>
      <w:r>
        <w:t>Dans leurs actes de recours, les recourants soutiennent que les faits faisant l'objet de leurs plaintes seraient constitutifs de diffamation. Les documents incriminés ne sont manifestement pas attentatoires à l'honneur des recourants, car ils ne mentionnent aucun comportement particulier de ceux-ci. On ne saurait en effet considérer que des personnes passent pour méprisables du seul fait qu'elles ne sont pas les bienvenues dans un restaurant, dès lors que contrairement à ce que soutiennent les recourants, on ne peut pas voir dans toute interdiction d'accès le reproche implicite de comportements indignes ou contraires à l'honneur. Une condamnation de M.________ pour diffamation apparaît par conséquent d'emblée exclue, de sorte que c'est à juste titre que le Ministère public a refusé d'entrer en matière.</w:t>
      </w:r>
    </w:p>
    <w:p>
      <w:r>
        <w:rPr>
          <w:b/>
        </w:rPr>
        <w:t>E. 3</w:t>
      </w:r>
    </w:p>
    <w:p>
      <w:r>
        <w:t>En définitive, le recours doit être rejeté sans autre échange d'écritures (cf.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des recourants, qui succombent (art. 428 al. 1 CPP), à parts égales, soit 137 fr. 50 chacun, et solidairement entre eux (art. 418 al. 1 et 2 CPP). Par ces motifs, la Chambre des recours pénale prononce : I. Le recours d'E.________ est rejeté. II. Le recours de D.W.________ est rejeté. III. Le recours de B.W.________ est rejeté. IV. Le recours de C.W.________ est rejeté. V. L'ordonnance du 26 août 2014 est confirmée. VI. Les frais de la procédure de recours, par 550 fr. (cinq cent cinquante francs), sont mis à la charge d'E.________, de D.W.________, de B.W.________ et de C.W.________ à parts égales, soit 137 fr. 50 (cent trente-sept francs et cinquante centimes) chacun, et solidairement entre eux. VII. Le présent arrêt est exécutoire. Le président :               Le greffier : Du L'arrêt qui précède, dont la rédaction a été approuvée à huis clos, est notifié, par l'envoi d'une copie complète, à : - M. E.________, - Mme D.W.________, - M. B.W.________, - Mme C.W.________,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