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931 vom 28. Oktober 2014</w:t>
      </w:r>
    </w:p>
    <w:p>
      <w:r>
        <w:t>VD Tribunal cantonal, 2014-10-28, FR</w:t>
      </w:r>
    </w:p>
    <w:p>
      <w:r>
        <w:rPr>
          <w:b/>
        </w:rPr>
        <w:t xml:space="preserve">Quelle: </w:t>
      </w:r>
      <w:r>
        <w:t>https://mcp.opencaselaw.ch/entscheid/vd_findinfo_D_cision___2014___931</w:t>
      </w:r>
    </w:p>
    <w:p>
      <w:r>
        <w:t>FR: VD_FINDINFO Décision / 2014 / 931 du 28 octobre 2014</w:t>
      </w:r>
    </w:p>
    <w:p>
      <w:r>
        <w:t>IT: VD_FINDINFO Décision / 2014 / 931 del 28 ottobre 2014</w:t>
      </w:r>
    </w:p>
    <w:p>
      <w:pPr>
        <w:pStyle w:val="Heading2"/>
      </w:pPr>
      <w:r>
        <w:t>Regeste</w:t>
      </w:r>
    </w:p>
    <w:p>
      <w:r>
        <w:t>CONDUITE DU PROCÈS, ÉTAT DE FAIT, CONSTATATION DES FAITS, RÉGIME DE LA DÉTENTION, DÉCISION EN CONSTATATION DE DROIT | 139 CPP (CH)</w:t>
      </w:r>
    </w:p>
    <w:p>
      <w:pPr>
        <w:pStyle w:val="Heading2"/>
      </w:pPr>
      <w:r>
        <w:t>Erwägungen</w:t>
      </w:r>
    </w:p>
    <w:p>
      <w:r>
        <w:rPr>
          <w:b/>
        </w:rPr>
        <w:t>E. 1.1</w:t>
      </w:r>
    </w:p>
    <w:p>
      <w:r>
        <w:t>Aux termes de l’art. 393 al. 1 let. c CPP (Code de procédure pénale suisse du 5 octobre 2007; RS 312.0), le recours est recevable contre les décisions du tribunal des mesures de contrainte dans les cas prévus par le code. La juridiction investie du contrôle de la détention est le Tribunal des mesures de contrainte, auquel il appartient donc d'intervenir en cas d'allégations crédibles de traitement prohibé (JT 2013 III 86).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le recours a été interjeté en temps utile devant l’autorité compétente et satisfait aux conditions de forme posées par l’art. 385 al. 1 CPP.</w:t>
      </w:r>
    </w:p>
    <w:p>
      <w:r>
        <w:rPr>
          <w:b/>
        </w:rPr>
        <w:t>E. 1.2</w:t>
      </w:r>
    </w:p>
    <w:p>
      <w:r>
        <w:t>L’ordonnance entreprise est une décision de constatation. Lorsqu'une irrégularité constitutive d'une violation d'une garantie constitutionnelle a entaché la procédure relative à la détention provisoire, celle-ci doit en principe être réparée par une telle décision. Il doit en aller de même lorsque le prévenu estime avoir subi, du fait de la mise en détention provisoire, un traitement prohibé par l'art. 3 CEDH (Convention du 4 novembre 1950 de sauvegarde des droits de l’homme et des libertés fondamentales; RS 0.101). Dans un tel cas, l'intéressé dispose d'un droit propre à ce que les agissements dénoncés fassent l'objet d'une enquête prompte et impartiale (ATF 139 IV 41 c. 3.1 et les arrêts cités). Pour ce qui est de l’intérêt au recours, le prévenu n’a pas obtenu entièrement gain de cause dans la constatation des faits litigieux selon le chiffre I de l’ordonnance entreprise, à rapprocher des motifs de la décision. En effet, le premier juge n’a, en particulier, pas fait droit aux moyens déduits de l’absence d’une fenêtre et de l’éclairage artificiel permanent allégués, écartant les requêtes de mesures d’instruction portant sur ces points. Le prévenu a donc un intérêt juridiquement protégé, au sens de l’art. 382 al. 1 CPP, à la constatation de ces faits, d’autant plus que le montant d’une éventuelle indemnisation par l’autorité de jugement est susceptible de dépendre notamment des circonstances faisant l’objet des moyens rejetés par le premier juge.</w:t>
      </w:r>
    </w:p>
    <w:p>
      <w:r>
        <w:rPr>
          <w:b/>
        </w:rPr>
        <w:t>E. 2.1</w:t>
      </w:r>
    </w:p>
    <w:p>
      <w:r>
        <w:t>Le recourant fait grief au tribunal des mesures de contrainte d’avoir rejeté ses moyens déduits de l’absence d’une fenêtre dans sa cellule et de l’éclairage artificiel permanent, en écartant ses requêtes de mesures d’instruction portant sur ces points. Il soutient expressément que sa cellule au CGM était l’une des quatre sur les six que comporte ce bâtiment à être dépourvue de fenêtre et que la lumière y était allumée en permanence. Le premier juge relève dans ses déterminations que l’éclairage permanent avait été abandonné au CGM lors de la détention du prévenu pour être remplacé par des caméras infrarouge, d’une part, et que l’intéressé avait été détenu dans l’une des cellules du centre pourvue d’une fenêtre, d’autre part.</w:t>
      </w:r>
    </w:p>
    <w:p>
      <w:r>
        <w:rPr>
          <w:b/>
        </w:rPr>
        <w:t>E. 2.2</w:t>
      </w:r>
    </w:p>
    <w:p>
      <w:r>
        <w:t>Selon l’art. 139 CPP, les autorités pénales mettent en oeuvre tous les moyens de preuves licites qui, selon l'état des connaissances scientifiques et l'expérience, sont propres à établir la vérité (al. 1); il n'y a pas lieu d'administrer des preuves sur des faits non pertinents, notoires, connus de l'autorité pénale ou déjà suffisamment prouvés (al. 2).</w:t>
      </w:r>
    </w:p>
    <w:p>
      <w:r>
        <w:rPr>
          <w:b/>
        </w:rPr>
        <w:t>E. 2.3</w:t>
      </w:r>
    </w:p>
    <w:p>
      <w:r>
        <w:t>En l’espèce, les faits allégués par le prévenu (dans l’acte de saisine du 29 juillet 2014, dans ses déterminations du 9 septembre 2014 et dans le recours) divergent irréductiblement de ceux mentionnés par le Commandant de la Police cantonal dans sa lettre du 21 août 2014 au premier juge, sur laquelle l’autorité de première instance s’est fondée. S’agissant, comme déjà relevé, de faits pouvant être déterminants en droit, la question topique est celle de savoir si le refus de toute mesure d’instruction complémentaire du premier juge en relation strictement avec les deux points soulevés est conforme à l’art. 139 al. 2 CPP, en d’autres termes si les faits en cause peuvent être tenus pour suffisamment instruits au sens de cette disposition. Le Tribunal des mesures de contrainte aurait aisément pu donner suite aux réquisitions présentées par le prévenu en ordonnant la production, par le CGM, du registre des personnes détenues du</w:t>
      </w:r>
    </w:p>
    <w:p>
      <w:r>
        <w:rPr>
          <w:b/>
        </w:rPr>
        <w:t>E. 2.4</w:t>
      </w:r>
    </w:p>
    <w:p>
      <w:r>
        <w:t>Il résulte de ce qui précède que c’est à tort que le Tribunal des mesures de contrainte a écarté les réquisitions de preuve du recourant portant sur les moyens déduits de l’absence d’une fenêtre dans sa cellule, d’une part, et de l’éclairage artificiel permanent, d’autre part. 3. Partant, le recours doit être admis, l’ordonnance attaquée annulée et le dossier de la cause renvoyé au Tribunal des mesures de contrainte pour qu’il complète l’instruction dans le sens des considérants et rende une nouvelle décision de constatation. Les frais de la procédure de recours, constitués en l’espèce de l'émolument d'arrêt (art. 422 al. 1 CPP), par 660 fr. (art. 20 al. 1 TFIP [tarif des frais judiciaires pénaux; RSV 312.03.1]), et des frais imputables à la défense d’office (art. 422 al. 1 et 2 let. a CPP), fixés à 450 fr. plus la TVA, par 36 fr., soit 486 fr., seront laissés à la charge de l’Etat (art. 423 CPP). Par ces motifs, la Chambre des recours pénale prononce : I. Le recours est admis. II. L'ordonnance du 18 septembre 2014 est annulée. III. Le dossier de la cause est renvoyé au Tribunal des mesures de contrainte pour qu'il procède dans le sens des considérants. IV. L'indemnité allouée au défenseur d’office de F.________ est fixée à 486 fr. (quatre cent huitante-six francs). V. Les frais de la procédure de recours, par 660 fr. (six cent soixante francs), ainsi que l'indemnité allouée au défenseur d’office du recourant, par 486 fr. (quatre cent huitante-six francs), sont laissés à la charge de l’Etat. VI. Le présent arrêt est exécutoire. Le président :               Le greffier : Du L'arrêt qui précède, dont la rédaction a été approuvée à huis clos, est notifié, par l'envoi d'une copie complète, à : - Me Coralie Germond, avocate (pour F.________), - Ministère public central, et communiqué à : ‑ Mme la Présidente du Tribunal des mesures de contrainte, - M. le Procureur cantonal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r>
        <w:rPr>
          <w:b/>
        </w:rPr>
        <w:t>E. 5</w:t>
      </w:r>
    </w:p>
    <w:p>
      <w:r>
        <w:t>au 25 juillet 2014, avec mention de la cellule occupée par l’intéressé, ainsi qu’un plan des cellules du bâtiment en question. La question de savoir si une inspection locale est conforme à l’économie de la procédure dans le cas particulier n’a pas à être tranchée en l’état. Il suffit de relever à cet égard qu’une telle mesure d’instruction ne saurait être écartée par principe. Pour ce qui est de l’éclairage, des vérifications auraient également pu être opérées, notamment pour déterminer la date précise à laquelle les caméras infrarouge avaient été installées.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