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 vom 24. Januar 2014</w:t>
      </w:r>
    </w:p>
    <w:p>
      <w:r>
        <w:t>VD Tribunal cantonal, 2014-01-24, FR</w:t>
      </w:r>
    </w:p>
    <w:p>
      <w:r>
        <w:rPr>
          <w:b/>
        </w:rPr>
        <w:t xml:space="preserve">Quelle: </w:t>
      </w:r>
      <w:r>
        <w:t>https://mcp.opencaselaw.ch/entscheid/vd_findinfo_D_cision___2014___93</w:t>
      </w:r>
    </w:p>
    <w:p>
      <w:r>
        <w:t>FR: VD_FINDINFO Décision / 2014 / 93 du 24 janvier 2014</w:t>
      </w:r>
    </w:p>
    <w:p>
      <w:r>
        <w:t>IT: VD_FINDINFO Décision / 2014 / 93 del 24 gennaio 2014</w:t>
      </w:r>
    </w:p>
    <w:p>
      <w:pPr>
        <w:pStyle w:val="Heading2"/>
      </w:pPr>
      <w:r>
        <w:t>Regeste</w:t>
      </w:r>
    </w:p>
    <w:p>
      <w:r>
        <w:t>RETRAIT{VOIE DE DROIT}, RECOURS{CPP} | 386 al. 2 let. b CPP (CH)</w:t>
      </w:r>
    </w:p>
    <w:p>
      <w:pPr>
        <w:pStyle w:val="Heading2"/>
      </w:pPr>
      <w:r>
        <w:t>Erwägungen</w:t>
      </w:r>
    </w:p>
    <w:p>
      <w:r>
        <w:rPr>
          <w:b/>
        </w:rPr>
        <w:t>E. 1</w:t>
      </w:r>
    </w:p>
    <w:p>
      <w:r>
        <w:t>Par écriture du 22 janvier 2014, A.W.________ a déclaré retirer le recours interjeté le 13 janvier 2014 contre l’ordonnance de séquestre rendue rendue le 6 janvier 2014 par la Commission de police de la commune de [...].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doivent être mis à la charge d'A.W.________. Par ces motifs, la Chambre des recours pénale, statuant à huis clos, prononce : I. Il est pris acte du retrait du recours. II. La cause est rayée du rôle. III. Les frais d'arrêt, par 220 fr. (deux cent vingt francs), sont mis à la charge d'A.W.________. IV. Le présent arrêt est exécutoire. Le président :               Le greffier : Du L'arrêt qui précède, dont la rédaction a été approuvée à huis clos, est notifié, par l'envoi d'une copie complète, à : - Me François Canonica, avocat (pour A.W.________), - Mme B.W.________, - Ministère public central, et communiqué à : ‑ Commission de police de la commune de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