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928 vom 22. Oktober 2014</w:t>
      </w:r>
    </w:p>
    <w:p>
      <w:r>
        <w:t>VD Tribunal cantonal, 2014-10-22, FR</w:t>
      </w:r>
    </w:p>
    <w:p>
      <w:r>
        <w:rPr>
          <w:b/>
        </w:rPr>
        <w:t xml:space="preserve">Quelle: </w:t>
      </w:r>
      <w:r>
        <w:t>https://mcp.opencaselaw.ch/entscheid/vd_findinfo_D_cision___2014___928</w:t>
      </w:r>
    </w:p>
    <w:p>
      <w:r>
        <w:t>FR: VD_FINDINFO Décision / 2014 / 928 du 22 octobre 2014</w:t>
      </w:r>
    </w:p>
    <w:p>
      <w:r>
        <w:t>IT: VD_FINDINFO Décision / 2014 / 928 del 22 ottobre 2014</w:t>
      </w:r>
    </w:p>
    <w:p>
      <w:pPr>
        <w:pStyle w:val="Heading2"/>
      </w:pPr>
      <w:r>
        <w:t>Regeste</w:t>
      </w:r>
    </w:p>
    <w:p>
      <w:r>
        <w:t>PARTIE À LA PROCÉDURE, INDEMNITÉ{EN GÉNÉRAL} | 105 al. 1 let. f CPP (CH), 105 al. 2 CPP (CH), 135 al. 4 let. b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2.1</w:t>
      </w:r>
    </w:p>
    <w:p>
      <w:r>
        <w:t>Aux termes de l'art. 105 al. 1 let. f CPP, participent également à la procédure les tiers touchés par des actes de procédure. Entrent notamment dans cette catégorie les personnes qui élèvent des prétentions en lien avec la procédure pénale (Schmid, Schweizerische Strafprozessordnung, Praxiskommentar, Zürich/Saint-Gall 2013, n. 9 ad art. 105 CPP). Pour que le participant à la procédure puisse se voir reconnaître la qualité de partie, il faut qu'il rende vraisemblable l'existence d'une atteinte directe, immédiate et personnelle à ses droits, une atteinte de fait ou indirecte étant insuffisante (Schmid, op. cit., n. 10 ad art. 105 CPP; TF 1B_588/2012 du 10 janvier 2013 c. 2.1 et les réf. cit.).</w:t>
      </w:r>
    </w:p>
    <w:p>
      <w:r>
        <w:rPr>
          <w:b/>
        </w:rPr>
        <w:t>E. 2.2</w:t>
      </w:r>
    </w:p>
    <w:p>
      <w:r>
        <w:t>En l'espèce, le recourant entend émettre des prétentions en remboursement, par le prévenu, de la différence entre son indemnité en tant que défenseur désigné et les honoraires qu'il aurait touchés comme défenseur privé (art. 135 al. 4 let. b CPP). Les prétentions doivent être tranchées par l'autorité pénale dans le cadre de la décision finale ou dans le cadre d'une décision judiciaire ultérieure conformément aux art. 363 ss CPP (Schmid, op. cit., n. 15 ad art. 135 CPP). Comme le relève à juste titre le recourant, la première hypothèse présuppose qu'il soit informé de la date de l'audience, qu'un délai lui soit imparti pour faire valoir ses éventuelles prétentions et qu'un exemplaire du jugement final lui soit notifié. Dans ces circonstances, la qualité de partie doit effectivement être reconnue à Me J.________ au regard des art. 105 al. 1 let. f et al. 2 CPP.</w:t>
      </w:r>
    </w:p>
    <w:p>
      <w:r>
        <w:rPr>
          <w:b/>
        </w:rPr>
        <w:t>E. 3</w:t>
      </w:r>
    </w:p>
    <w:p>
      <w:r>
        <w:t>Il résulte de ce qui précède que le recours doit être admis et l'ordonnance réformée en ce sens que la qualité de partie au sens de l'art. 105 al. 2 CPP est accordée à Me J.________ dans la mesure nécessaire à la sauvegarde de ses intérêts. Les frais de la procédure de recours, constitués en l’espèce de l’émolument d’arrêt, par 440 fr. (art. 20 al. 1 TFIP [tarif des frais de procédure et indemnités en matière pénale; RSV 312.03.1]), seront laissés à la charge de l’Etat (art. 423 al. 1 CPP). S’agissant des dépens réclamés par le recourant, il lui appartiendra le cas échéant d’adresser à la fin de la procédure – pour autant que les conditions d’une indemnité selon l’art. 434 al. 1 CPP soient alors remplies – ses prétentions à l’autorité pénale compétente selon l’art. 434 al. 2 CPP. Par ces motifs, la Chambre des recours pénale prononce : I. Le recours est admis. II. L'ordonnance du 17 septembre 2014 est réformée en ce sens que la qualité de partie au sens de l'art. 105 al. 2 CPP est accordée à Me J.________ dans la mesure nécessaire à la sauvegarde de ses intérêts. III. Les frais d’arrêt, par 440 fr. (quatre cent quarante francs), sont laissés à la charge de l’Etat. IV. Le présent arrêt est exécutoire. Le président :               La greffière : Du L'arrêt qui précède, dont la rédaction a été approuvée à huis clos, est notifié, par l'envoi d'une copie complète, à : - M. J.________, - M. Laurent Moreillon,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