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92 vom 30. Januar 2014</w:t>
      </w:r>
    </w:p>
    <w:p>
      <w:r>
        <w:t>VD Tribunal cantonal, 2014-01-30, FR</w:t>
      </w:r>
    </w:p>
    <w:p>
      <w:r>
        <w:rPr>
          <w:b/>
        </w:rPr>
        <w:t xml:space="preserve">Quelle: </w:t>
      </w:r>
      <w:r>
        <w:t>https://mcp.opencaselaw.ch/entscheid/vd_findinfo_D_cision___2014___92</w:t>
      </w:r>
    </w:p>
    <w:p>
      <w:r>
        <w:t>FR: VD_FINDINFO Décision / 2014 / 92 du 30 janvier 2014</w:t>
      </w:r>
    </w:p>
    <w:p>
      <w:r>
        <w:t>IT: VD_FINDINFO Décision / 2014 / 92 del 30 gennaio 2014</w:t>
      </w:r>
    </w:p>
    <w:p>
      <w:pPr>
        <w:pStyle w:val="Heading2"/>
      </w:pPr>
      <w:r>
        <w:t>Regeste</w:t>
      </w:r>
    </w:p>
    <w:p>
      <w:r>
        <w:t>DÉCISION D'IRRECEVABILITÉ, ABUS DE CONFIANCE, IN DUBIO PRO DURIORE | 138 CP</w:t>
      </w:r>
    </w:p>
    <w:p>
      <w:pPr>
        <w:pStyle w:val="Heading2"/>
      </w:pPr>
      <w:r>
        <w:t>Erwägungen</w:t>
      </w:r>
    </w:p>
    <w:p>
      <w:r>
        <w:rPr>
          <w:b/>
        </w:rPr>
        <w:t>E. 1</w:t>
      </w:r>
    </w:p>
    <w:p>
      <w:r>
        <w:t>Interjeté dans le délai légal (art. 322 al. 2 CPP [code de procédure pénale suisse du 5 octobre 2007; RS 312.0], par renvoi de l'art. 310 al. 2 et art. 396 al. 1 CPP) contre une décision du Ministère public (art. 393 al. 1 let. a CPP), par la partie plaignante qui a qualité pour recourir (art. 382 al. 1 CPP) et dans les formes prescrites (art. 385 al. 1 CPP), le recours est recevable.</w:t>
      </w:r>
    </w:p>
    <w:p>
      <w:r>
        <w:rPr>
          <w:b/>
        </w:rPr>
        <w:t>E. 2</w:t>
      </w:r>
    </w:p>
    <w:p>
      <w:r>
        <w:t>Aux termes de l'art. 310 al. 1 let. a CPP, une ordonnance de non-entrée en matière est rendue immédiatement – c’est-à-dire sans qu’une instruction soit ouverte (art. 309 al. 1 et 4 CPP; TF 1B_111/2012 du 5 avril 2012 c. 2.1; Cornu, in: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(TF 1B_111/2012 du 5 avril 2012 c. 2.1; TF 1B_67/2012 du 29 mai 2012 c. 2.2).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 3.2). En effet, il ne se justifie pas d’ouvrir une instruction pénale (art. 309 CPP) qui devra être close par une ordonnance de classement dans la mesure où une condamnation apparaît très vraisemblablement exclue (ATF 138 IV 86 c. 4.1.1; TF 1B_272/2011 du 22 mars 2012 c. 3.1.1).</w:t>
      </w:r>
    </w:p>
    <w:p>
      <w:r>
        <w:rPr>
          <w:b/>
        </w:rPr>
        <w:t>E. 3</w:t>
      </w:r>
    </w:p>
    <w:p>
      <w:r>
        <w:t>Les recourants reprochent au Ministère public d’avoir considéré que l’infraction d’abus de confiance n’était manifestement pas réalisée. a) En vertu de l’art. 138 ch. 1 CP (Code pénal suisse du 21 décembre 1937; RS 311.0), se rend coupable d’abus de confiance celui qui, pour se procurer ou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Sur le plan objectif, cette disposition suppose que l'auteur ait utilisé, sans droit, à son profit ou au profit d'un tiers, des valeurs patrimoniales qui lui avaient été confiées. Il y a emploi illicite d'une valeur patrimoniale confiée lorsque l'auteur l'utilise contrairement aux instructions reçues, en s'écartant de la destination fixée (ATF 121 IV 23 c. 1c; ATF 119 IV 127 c. 2). L'alinéa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c. 2.1 et les arrêts cités). Du point de vue subjectif, l'auteur doit avoir agi intentionnellement et dans un dessein d'enrichissement illégitime. Cette dernière condition est réalisée lorsque celui qui devait tenir en tout temps le bien confié à disposition de l'ayant droit l'a utilisé à son profit ou au profit d'un tiers sans avoir à tout moment la volonté et la possibilité de le restituer immédiatement. S'il devait le tenir à disposition de l'ayant droit à un moment déterminé ou à l'échéance d'un délai déterminé, il doit avoir eu la volonté et la possibilité de le restituer à ce moment ou à cette échéance (ATF 118 IV 27 c. 3a ; ATF 118 IV 32 c. 2a). Le dessein d'enrichissement illégitime fait en revanche défaut si, au moment de l'emploi illicite de la valeur patrimoniale confiée, l'auteur en paie la contre-valeur (ATF 107 IV 166 c. 2a), s'il avait à tout moment ou, le cas échéant, à la date convenue à cet effet, la volonté et la possibilité de le faire (ATF 118 IV 32 c. 2a). Le dessein d'enrichissement peut être réalisé par dol éventuel. Tel est le cas lorsque l'auteur envisage l'enrichissement comme possible et agit néanmoins, même s'il ne le souhaite pas, parce qu'il s'en accommode pour le cas où il se produirait (ATF 123 IV 155 c. 1a; ATF 121 IV 249 c. 3a et les arrêts cités ; ATF 105 IV 29 c. 3a). b) En l’espèce, il ressort de la convention de réservation signée entre les parties que la somme de 30'000 fr. versée par les recourants à titre d’acompte l’avait été dans un but déterminé, soit réserver une villa. Il ne ressort pas des pièces du dossier que les recourants auraient donné au prévenu l’autorisation d’utiliser cet argent dans un autre but. On peut donc considérer l’acompte versé par les recourants en mains du prévenu comme une somme confiée au sens de l’art. 138 CP. Ladite convention prévoyait expressément la restitution de l’acompte à certaines conditions. Lors d’une conversation téléphonique du 13 septembre 2013, alors que les recourants avaient fait valoir leur droit à obtenir la restitution de ce montant, le prévenu aurait toutefois indiqué à B.K.________ qu’il n’avait plus l’argent à disposition et qu’il n’était pas en mesure de le restituer aux recourants. Au vu de ce qui précède, il existe des soupçons suffisants laissant présumer qu'une infraction aurait pu être commise (art. 309 al. 1 let. a CPP).</w:t>
      </w:r>
    </w:p>
    <w:p>
      <w:r>
        <w:rPr>
          <w:b/>
        </w:rPr>
        <w:t>E. 4</w:t>
      </w:r>
    </w:p>
    <w:p>
      <w:r>
        <w:t>En définitive, le recours doit être admis, l’ordonnance de non-entrée en matière du 21 octobre 2013 annulée et la cause renvoyée au Ministère public de l'arrondissement de l’Est vaudois pour qu’il ouvre une instruction sur la base des faits dénoncés par les plaignants. Les frais d'arrêt, par 660 fr. (art. 20 al. 1 TFJP [tarif des frais judiciaires pénaux du 28 septembre 2010; RSV 312.03.1]), seront laissés à la charge de l'Etat (art. 428 al. 4 CPP). S’agissant des dépens réclamés par les recourants, il appartiendra à ces derniers d’adresser à la fin de la procédure leurs prétentions à l’autorité pénale compétente selon l’art. 433 al. 2 CPP (CREP 16 avril 2013/279 c. 4 et les références citées). Par ces motifs, la Chambre des recours pénale, statuant à huis clos, prononce : I. Le recours est admis. II. L'ordonnance du 21 octobre 2013 est annulée. III. Le dossier de la cause est renvoyé au Ministère public de l’arrondissement de l’Est vaudois pour qu'il procède dans le sens des considérants. IV. Les frais d'arrêt, par 660 fr. (six cent soixante francs), sont laissés à la charge de l'Etat. V. Le présent arrêt est exécutoire. Le président :               La greffière : Du L'arrêt qui précède, dont la rédaction a été approuvée à huis clos, est notifié, par l'envoi d'une copie complète, à : - M. Stéphane Ducret, avocat (pour B.K.________ et A.K.________),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