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916 vom 23. Oktober 2014</w:t>
      </w:r>
    </w:p>
    <w:p>
      <w:r>
        <w:t>VD Tribunal cantonal, 2014-10-23, FR</w:t>
      </w:r>
    </w:p>
    <w:p>
      <w:r>
        <w:rPr>
          <w:b/>
        </w:rPr>
        <w:t xml:space="preserve">Quelle: </w:t>
      </w:r>
      <w:r>
        <w:t>https://mcp.opencaselaw.ch/entscheid/vd_findinfo_D_cision___2014___916</w:t>
      </w:r>
    </w:p>
    <w:p>
      <w:r>
        <w:t>FR: VD_FINDINFO Décision / 2014 / 916 du 23 octobre 2014</w:t>
      </w:r>
    </w:p>
    <w:p>
      <w:r>
        <w:t>IT: VD_FINDINFO Décision / 2014 / 916 del 23 ottobre 2014</w:t>
      </w:r>
    </w:p>
    <w:p>
      <w:pPr>
        <w:pStyle w:val="Heading2"/>
      </w:pPr>
      <w:r>
        <w:t>Regeste</w:t>
      </w:r>
    </w:p>
    <w:p>
      <w:r>
        <w:t>DÉTENTION PROVISOIRE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les indices de participation à un trafic de stupéfiants sont caractérisés au vu des aveux partiels du prévenu, l'enquête ayant au demeurant permis d'établir que l'intéressé est mis en cause pour avoir vendu au minimum 243 à 386 grammes de cocaïne et 1'124 à 1'544 grammes de marijuana. K.________ a encore admis avoir insulté, menacé et poussé sa compagne. Vu ce qui précède, la première condition posée par l'art. 221 al. 1 CPP est remplie.</w:t>
      </w:r>
    </w:p>
    <w:p>
      <w:r>
        <w:rPr>
          <w:b/>
        </w:rPr>
        <w:t>E. 3</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CREP 16 octobre 2014/752 c. 3). En l'espèce, un risque de fuite demeure concret au vu des faibles attaches que le prévenu a avec la Suisse et de sa situation économique précaire. K.________ est titulaire d'un permis F; il est sans emploi, au bénéfice d'indemnité journalières de l'assurance-accidents et a des dettes. Au vu des faits reprochés à l'intéressé et de la peine encourue, il est à craindre que le prévenu cherche à se soustraire aux poursuites pénales en prenant la fuite ou en disparaissant dans la clandestinité. Les liens que le prévenu entretient avec sa fille et dont il se prévaut ne sont pas une garantie suffisante pour prévenir efficacement tout risque de fuite.</w:t>
      </w:r>
    </w:p>
    <w:p>
      <w:r>
        <w:rPr>
          <w:b/>
        </w:rPr>
        <w:t>E. 4</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le risque de voir K.________ commettre de nouvelles infractions à la LStup est important, dès lors qu'il admis avoir agi par appât du gain, que son revenu mensuel versé par la SUVA à compter du mois de décembre 2013 ne l'a pas empêché de poursuivre une activité délictueuse et que sa situation financière est précaire. Par ailleurs, même si elle a retiré sa plainte pénale, l'amie du recourant lui a reproché des actes de violences, alors que d'après son casier judiciaire, K.________ avait déjà été condamné pour lésions corporelles simples et fait l'objet de trois enquêtes pour lésions corporelles simples, rixe et tentative de contrainte. Un risque de récidive demeure donc également patent.</w:t>
      </w:r>
    </w:p>
    <w:p>
      <w:r>
        <w:rPr>
          <w:b/>
        </w:rPr>
        <w:t>E. 5</w:t>
      </w:r>
    </w:p>
    <w:p>
      <w:r>
        <w:t>L'existence d'un risque de fuite et de réitération dispense l'autorité de céans d'examiner si la détention provisoire s'impose également en raison d'un risque de collusion. Pour le surplus, aucune mesure de substitution ne paraît prévenir, en l'état, les risques retenus. Les éléments qui précèdent conduisent à rejeter la demande de libération provisoire.</w:t>
      </w:r>
    </w:p>
    <w:p>
      <w:r>
        <w:rPr>
          <w:b/>
        </w:rPr>
        <w:t>E. 6</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K.________ est détenu depuis le 11 juillet 2014, soit depuis un peu plus de trois mois. Compte tenu des actes qui lui sont reprochés (art. 19 ch. 2 LStup, 123 al. 1 CP, 177 CP, 180 CP), il s'expose à une peine privative de liberté encore compatible avec celle de la détention subie à ce jour.</w:t>
      </w:r>
    </w:p>
    <w:p>
      <w:r>
        <w:rPr>
          <w:b/>
        </w:rPr>
        <w:t>E. 7</w:t>
      </w:r>
    </w:p>
    <w:p>
      <w:r>
        <w:t>Enfin, contrairement à ce que soutient le recourant, on ne peut aucunement reprocher au Ministère public un manque de diligence, voire une certaine mauvaise foi. A lire la lettre que cette autorité a adressée le 9 octobre 2014 au Tribunal des mesures de contrainte (dont le mandataire d'K.________ a reçu copie), il apparaît évident que les prochaines opérations d'instruction envisagées ne pouvaient se faire avant l'obtention du rapport final de la police renseignant sur l'ampleur de l'activité délictueuse reprochée au prévenu. Pour le surplus, le fait que le procureur ait apparemment envisagé une mise en liberté, avant, quelques jours plus tard, de changer d'avis, ne saurait justifier une admission du présent recours, dès lors que les conditions du maintien en détention sont réunies.</w:t>
      </w:r>
    </w:p>
    <w:p>
      <w:r>
        <w:rPr>
          <w:b/>
        </w:rPr>
        <w:t>E. 8</w:t>
      </w:r>
    </w:p>
    <w:p>
      <w:r>
        <w:t>Il résulte de ce qui précède que le recours, manifestement mal fondé, doit être rejeté sans autres échanges d’écritures (art. 390 al. 2 CPP).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d'K.________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octobre 2014 est confirmée. III. L’indemnité allouée au défenseur d'office d'K.________ est fixée à 583 fr. 20 (cinq cent huitante-trois francs et vingt centimes). IV. Les frais du présent arrêt, par 660 fr. (six cent soixante francs), ainsi que l’indemnité due au défenseur d’office dK.________, par 583 fr. 20 (cinq cent huitante-trois francs et vingt centimes), sont mis à la charge de ce dernier. V. Le remboursement à l'Etat de l'indemnité allouée au chiffre III ci-dessus ne sera exigible que pour autant que la situation d'K.________ se soit améliorée. VI. Le présent arrêt est exécutoire. Le président :               La greffière : Du L'arrêt qui précède, dont la rédaction a été approuvée à huis clos, est notifié, par l'envoi d'une copie complète, à : - M. Philippe Oguey, avocat (pour K.________), - Ministère public central, et communiqué à : ‑ Mme la Présidente ad hoc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