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912 vom 18. August 2014</w:t>
      </w:r>
    </w:p>
    <w:p>
      <w:r>
        <w:t>VD Tribunal cantonal, 2014-08-18, FR</w:t>
      </w:r>
    </w:p>
    <w:p>
      <w:r>
        <w:rPr>
          <w:b/>
        </w:rPr>
        <w:t xml:space="preserve">Quelle: </w:t>
      </w:r>
      <w:r>
        <w:t>https://mcp.opencaselaw.ch/entscheid/vd_findinfo_D_cision___2014___912</w:t>
      </w:r>
    </w:p>
    <w:p>
      <w:r>
        <w:t>FR: VD_FINDINFO Décision / 2014 / 912 du 18 août 2014</w:t>
      </w:r>
    </w:p>
    <w:p>
      <w:r>
        <w:t>IT: VD_FINDINFO Décision / 2014 / 912 del 18 agosto 2014</w:t>
      </w:r>
    </w:p>
    <w:p>
      <w:pPr>
        <w:pStyle w:val="Heading2"/>
      </w:pPr>
      <w:r>
        <w:t>Regeste</w:t>
      </w:r>
    </w:p>
    <w:p>
      <w:r>
        <w:t>DROIT D'ÊTRE ENTENDU, CLASSEMENT DE LA PROCÉDURE, MOTIVATION DE LA DÉCISION, FRAIS DE LA PROCÉDURE, PRÉVENU | 29 al. 2 Cst., 319 CPP (CH), 395 let. b CPP (CH), 426 al. 2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prévenue qui a la qualité pour recourir (cf. art. 382 al. 1 CPP), le recours est recevable.</w:t>
      </w:r>
    </w:p>
    <w:p>
      <w:r>
        <w:rPr>
          <w:b/>
        </w:rPr>
        <w:t>E. 1.1</w:t>
      </w:r>
    </w:p>
    <w:p>
      <w:r>
        <w:t>Les parties peuvent attaquer une ordonnance de classement rendue par le ministère public en application des art. 319 ss CPP dans les dix jours devant l’autorité de recours (art. 322 al. 2 et 396 al. 1 CPP; cf. art. 20 al.</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La recourante ne conteste pas le classement en lui-même, mais uniquement la mise à sa charge des frais de procédure, par 225 francs. La valeur litigieuse place donc le recours dans la compétence d’un juge unique de la Chambre des recours pénale (art. 395 let. b CPP).</w:t>
      </w:r>
    </w:p>
    <w:p>
      <w:r>
        <w:rPr>
          <w:b/>
        </w:rPr>
        <w:t>E. 2.1</w:t>
      </w:r>
    </w:p>
    <w:p>
      <w:r>
        <w:t>La recourante invoque une violation de son droit d’être entendue en ce sens que la motivation de l’ordonnance attaquée serait insuffisante. Elle soutient que le Ministère public n’aurait pas examiné les conditions d’une responsabilité civile. Il se serait contenté d’affirmer que la recourante était civilement responsable, sans que l’on puisse comprendre en quoi et pourquoi cette dernière le serait.</w:t>
      </w:r>
    </w:p>
    <w:p>
      <w:r>
        <w:rPr>
          <w:b/>
        </w:rPr>
        <w:t>E. 2.2</w:t>
      </w:r>
    </w:p>
    <w:p>
      <w:r>
        <w:t>L 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Le droit d’être entendu est un droit de nature formelle, dont la violation doit entraîner en principe l'annulation de la décision attaquée (ATF 122 IV 8; ATF 121 I 230). Toutefois, la jurisprudence du Tribunal fédéral admet qu'une telle irrégularité peut être réparée lorsque l'intéressé peut s'exprimer librement devant une autorité de recours disposant du même pouvoir d'examen que l'autorité de première instance, et qui peut ainsi contrôler librement la décision attaquée (ATF 133 I 201 c. 2.2; ATF 129 I 129 c. 2.2.3; TF 1B_36/2010 du 19 août 2010). La Chambre des recours pénale dispose d'un tel pouvoir d'examen, permettant de guérir le vice (art. 391 al. 1 CPP; CREP 4 février 2014/89).</w:t>
      </w:r>
    </w:p>
    <w:p>
      <w:r>
        <w:rPr>
          <w:b/>
        </w:rPr>
        <w:t>E. 2.3</w:t>
      </w:r>
    </w:p>
    <w:p>
      <w:r>
        <w:t>En l’espèce, la motivation de l’ordonnance attaquée est certes succincte, mais elle est claire et suffisante, dès lors que l’on comprend que les frais ont été mis à la charge de la recourante parce que celle-ci était civilement responsable des chiens. D’ailleurs, la motivation de l’ordonnance a permis à la recourante de contester adéquatement la mise à sa charge des frais de procédure. Au demeurant, même si la motivation de l’ordonnance devait être tenue pour insuffisante, la partie a eu la faculté de faire valoir ses moyens devant une autorité de recours disposant d’un plein pouvoir d'examen, et qui peut ainsi contrôler librement la décision attaquée conformément à la jurisprudence fédérale résumée ci-dessus. Le moyen tiré d’une violation du droit d’être entendu doit donc être rejeté.</w:t>
      </w:r>
    </w:p>
    <w:p>
      <w:r>
        <w:rPr>
          <w:b/>
        </w:rPr>
        <w:t>E. 3.1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CREP 16 septembre 2013/578 c. 2a et les références citées).</w:t>
      </w:r>
    </w:p>
    <w:p>
      <w:r>
        <w:rPr>
          <w:b/>
        </w:rPr>
        <w:t>E. 3.2</w:t>
      </w:r>
    </w:p>
    <w:p>
      <w:r>
        <w:t>En l’espèce, dans la motivation de son ordonnance, le procureur a retenu que la recourante avait pris les mesures adéquates et qu’aucune négligence ni aucun manque de soin à l’égard des chiens ne pouvaient lui être reprochés. Autrement dit, le procureur a considéré que la recourante n’avait commis aucune faute. C’est donc à tort que ce dernier a mis les frais de procédure à la charge de la recourante. En particulier, il convient de relever que contrairement à ce que soutient le procureur dans ses déterminations, la violation d’une norme de comportement, écrite ou non écrite, ne peut consister qu’en la violation d’une norme de comportement générale et non en la violation d’obligations contractuelles ou quasi contractuelles (gestion d’affaires) de la prévenue envers la plaignante. Enfin, l’argument du procureur selon lequel la recourante n’aurait pas offert de dédommagement à la plaignante n’est pas pertinent pour les motifs qui viennent d’être évoqués. Au vu de l’ensemble de ces éléments, il convient de laisser les frais de la procédure préliminaire à la charge de l’Etat.</w:t>
      </w:r>
    </w:p>
    <w:p>
      <w:r>
        <w:rPr>
          <w:b/>
        </w:rPr>
        <w:t>E. 4</w:t>
      </w:r>
    </w:p>
    <w:p>
      <w:r>
        <w:t>La recourante n’ayant pas contesté le rejet de sa demande d’indemnité de 122 fr. 50, il n’y a pas lieu d’examiner cette question. On relèvera toutefois que la décision du procureur sur ce point ne prête pas le flanc à la critique, dès lors que la recourante n’avait pas justifié le montant en cause par des pièces probantes.</w:t>
      </w:r>
    </w:p>
    <w:p>
      <w:r>
        <w:rPr>
          <w:b/>
        </w:rPr>
        <w:t>E. 5</w:t>
      </w:r>
    </w:p>
    <w:p>
      <w:r>
        <w:t>Il résulte de ce qui précède que le recours doit être admis et le chiffre III du dispositif de l’ordonnance attaquée réformé en ce sens que les frais de procédure, par 1'050 fr., sont laissés à la charge de l’Etat. Les frais de la procédure de recours, constitués en l'espèce de l'émolument d'arrêt, par 720 fr. (art. 20 al. 1 TFIP [tarif des frais de procédure et indemnités en matière pénale; RSV 312.03.1]), seront laissés à la charge de l’Etat (art. 423 al. 1 CPP). La recourante qui a obtenu gain de cause et qui a procédé avec l'assistance d'un conseil professionnel, a droit à une indemnité pour les dépenses occasionnées par l'exercice raisonnable de ses droits dans le cadre de la présente procédure de recours (art. 429 al. 1 let. a et 436 al. 1 CPP). Au regard de la nature de la présente affaire et du mémoire de recours, il convient de retenir une activité d’une heure et demie de travail au tarif horaire de 270 fr., auquel il convient d’ajouter un montant correspondant à la TVA (art. 26a TFIP). L’indemnité sera ainsi fixée à 437 fr. 40, à la charge de l’Etat. Par ces motifs, le juge unique prononce : I. Le recours est admis. II. Le chiffre III du dispositif de l’ordonnance du 6 mai 2014 est réformé en ce sens que les frais de procédure, par 1'050 fr., sont laissés à la charge de l’Etat. III. Les frais d’arrêt, par 720 fr. (sept cent vingt francs), sont laissés à la charge de l’Etat. IV. Une indemnité de 437 fr. 40 (quatre cent trente-sept francs et quarante centimes) est allouée à X.________ pour les dépenses occasionnées par l’exercice raisonnable de ses droits de procédure pour la présente procédure de recours, à la charge de l’Etat. V. Le présent arrêt est exécutoire. La juge unique :               La greffière : Du L'arrêt qui précède, dont la rédaction a été approuvée à huis clos, est notifié, par l'envoi d'une copie complète, à : - M. Nicolas Dutoit, avocat (pour X.________), - Ministère public central; et communiqué à : ‑ Mme Sarah El-Abshihy, avocate (pour Z.________),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