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91 vom 21. Januar 2014</w:t>
      </w:r>
    </w:p>
    <w:p>
      <w:r>
        <w:t>VD Tribunal cantonal, 2014-01-21, FR</w:t>
      </w:r>
    </w:p>
    <w:p>
      <w:r>
        <w:rPr>
          <w:b/>
        </w:rPr>
        <w:t xml:space="preserve">Quelle: </w:t>
      </w:r>
      <w:r>
        <w:t>https://mcp.opencaselaw.ch/entscheid/vd_findinfo_D_cision___2014___91</w:t>
      </w:r>
    </w:p>
    <w:p>
      <w:r>
        <w:t>FR: VD_FINDINFO Décision / 2014 / 91 du 21 janvier 2014</w:t>
      </w:r>
    </w:p>
    <w:p>
      <w:r>
        <w:t>IT: VD_FINDINFO Décision / 2014 / 91 del 21 gennaio 2014</w:t>
      </w:r>
    </w:p>
    <w:p>
      <w:pPr>
        <w:pStyle w:val="Heading2"/>
      </w:pPr>
      <w:r>
        <w:t>Regeste</w:t>
      </w:r>
    </w:p>
    <w:p>
      <w:r>
        <w:t>DÉCISION D'IRRECEVABILITÉ, SOUPÇON, ADMISSION DE LA DEMANDE | 310 CPP (CH)</w:t>
      </w:r>
    </w:p>
    <w:p>
      <w:pPr>
        <w:pStyle w:val="Heading2"/>
      </w:pPr>
      <w:r>
        <w:t>Erwägungen</w:t>
      </w:r>
    </w:p>
    <w:p>
      <w:r>
        <w:rPr>
          <w:b/>
        </w:rPr>
        <w:t>E. 1</w:t>
      </w:r>
    </w:p>
    <w:p>
      <w:r>
        <w:t>let. a CPP), par la partie plaignante qui a qualité pour recourir (art. 382 al. 1 CPP) et dans les formes prescrites (art. 385 al. 1 CPP), le recours est recevable.</w:t>
      </w:r>
    </w:p>
    <w:p>
      <w:r>
        <w:rPr>
          <w:b/>
        </w:rPr>
        <w:t>E. 2</w:t>
      </w:r>
    </w:p>
    <w:p>
      <w:r>
        <w:t>a) Conformément à l'art. 310 let. a CPP, le procureur rend immédiatement – c'est-à-dire sans qu'une instruction soit ouverte – une ordonnance de non-entrée en matière lorsqu'il apparaît, à réception de la dénonciation (cf. art. 301 s. CPP) ou de la plainte (Cornu, in: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 3.2). En effet, il ne se justifie pas d’ouvrir une instruction pénale (art. 309 CPP) qui devra être close par une ordonnance de classement dans la mesure où une condamnation apparaît très vraisemblablement exclue (cf. ATF 138 IV 86 c. 4.1.1; TF 1B_272/2011 du 22 mars 2012 c. 3.1.1). b) En l’espèce, à lire le courrier du 26 octobre 2013, le recourant n’entendait pas déposer plainte pour les deux éléments qui ont conduit le Procureur à rendre une ordonnance de non-entrée en matière, lesquels étaient uniquement évoqués au titre de déterminations dans la cadre de l’affaire en cours (cause n° PE13.023909-FHA). L’objet de la plainte se situe au contraire dans la dernière partie du courrier et concerne des événements qui se sont produits depuis le 19 octobre 2013 et particulièrement le 21 octobre 2013. Le recourant a décrit de manière précise ces faits et produit plusieurs pièces, notamment un certificat médical (cf. P. 4/4). Il existe donc des soupçons suffisants pour à tout le moins envisager les infractions de violation de domicile, menaces et lésions corporelles simples et justifier l’ouverture d’une instruction.</w:t>
      </w:r>
    </w:p>
    <w:p>
      <w:r>
        <w:rPr>
          <w:b/>
        </w:rPr>
        <w:t>E. 3</w:t>
      </w:r>
    </w:p>
    <w:p>
      <w:r>
        <w:t>Il résulte de ce qui précède que le recours doit être admis, l’ordonnance de non-entrée en matière du 12 novembre 2013 étant annulée et le dossier de la cause renvoyé au Ministère public de l’arrondissement de Lausanne pour qu’il procède dans le sens des considérants. Les frais de la procédure de recours, constitués en l’espèce du seul émolument d’arrêt, par 550 fr. (art. 422 al. 1 CPP et 20 al. 1 TFJP [Tarif des frais judiciaires pénaux du 28 septembre 2010; RSV 312.03.1]), seront laissés à la charge de l’Etat (art. 423 al. 1 CPP). Par ces motifs, la Chambre des recours pénale, statuant à huis clos, prononce : I. Le recours est admis. II. L'ordonnance du 12 novembre 2013 est annulée et le dossier de la cause est renvoyé au Ministère public de l’arrondissement de Lausanne pour qu’il procède dans le sens des considérants. III. Les frais d'arrêt, par 550 fr. (cinq cent cinquante francs), sont laissés à la charge de l'Etat. IV. Le présent arrêt est exécutoire. Le président :               La greffière : Du L'arrêt qui précède, dont la rédaction a été approuvée à huis clos, est notifié, par l'envoi d'une copie complète, à : - M. N.________,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