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909 vom 11. September 2014</w:t>
      </w:r>
    </w:p>
    <w:p>
      <w:r>
        <w:t>VD Tribunal cantonal, 2014-09-11, FR</w:t>
      </w:r>
    </w:p>
    <w:p>
      <w:r>
        <w:rPr>
          <w:b/>
        </w:rPr>
        <w:t xml:space="preserve">Quelle: </w:t>
      </w:r>
      <w:r>
        <w:t>https://mcp.opencaselaw.ch/entscheid/vd_findinfo_D_cision___2014___909</w:t>
      </w:r>
    </w:p>
    <w:p>
      <w:r>
        <w:t>FR: VD_FINDINFO Décision / 2014 / 909 du 11 septembre 2014</w:t>
      </w:r>
    </w:p>
    <w:p>
      <w:r>
        <w:t>IT: VD_FINDINFO Décision / 2014 / 909 del 11 settembre 2014</w:t>
      </w:r>
    </w:p>
    <w:p>
      <w:pPr>
        <w:pStyle w:val="Heading2"/>
      </w:pPr>
      <w:r>
        <w:t>Regeste</w:t>
      </w:r>
    </w:p>
    <w:p>
      <w:r>
        <w:t>CLASSEMENT DE LA PROCÉDURE, RÉCUSATION, DEMANDE ADRESSÉE À L'AUTORITÉ | 310 CPP (CH), 393 al. 1 let. a CPP (CH), 59 CPP (CH)</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est compétente pour statuer sur la demande de récusation présentée par N.________ à l’encontre du Procureur général, qui a rendu l'ordonnance litigieuse (art. 13 de la loi d’introduction du code de procédure pénale suisse [LVCPP]; RSV 312.01), et des membres de sa Cour, dans la mesure où, comme on le verra ci-dessous, la requête est manifestement mal fondée.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En l'occurrence, le recourant estime que le Procureur général devait donner suite à ses plaintes et les traiter séparément les unes des autres.</w:t>
      </w:r>
    </w:p>
    <w:p>
      <w:r>
        <w:rPr>
          <w:b/>
        </w:rPr>
        <w:t>E. 3.1</w:t>
      </w:r>
    </w:p>
    <w:p>
      <w:r>
        <w:t>Il convient de relever en premier lieu que, vu le contexte dans lequel les diverses plaintes ont été déposées, la nature des faits dénoncés et la personnalité du plaignant, il se justifiait de rendre une seule décision conformément à ce qu'autorise l'art. 30 CPP. Il ne saurait donc être reproché au procureur de n'avoir rendu qu'une seule et même ordonnance pour les quatre plaintes déposées par N.________ en moins de 15 jours.</w:t>
      </w:r>
    </w:p>
    <w:p>
      <w:r>
        <w:rPr>
          <w:b/>
        </w:rPr>
        <w:t>E. 3.2</w:t>
      </w:r>
    </w:p>
    <w:p>
      <w:r>
        <w:t>Le plaignant évoque tout d'abord ses conditions de détention, sans qu'on puisse discerner en quoi le comportement du directeur de la prison ou de la cheffe du service pénitentiaire serait constitutif d'une infraction pénale. Pour le reste, le recourant ne donne aucune indication précise quant aux menaces et agressions dont il prétend avoir été victime (auteur, nature, lieu). Vu ce qui précède, c'est à juste titre que le procureur a refusé d'entrer en matière sur les plaintes déposées le 29 juillet 2014 par N.________.</w:t>
      </w:r>
    </w:p>
    <w:p>
      <w:r>
        <w:rPr>
          <w:b/>
        </w:rPr>
        <w:t>E. 3.3</w:t>
      </w:r>
    </w:p>
    <w:p>
      <w:r>
        <w:t>Le recourant reproche au service médical de la prison où il séjournait dans le canton de Vaud d'avoir transmis son dossier médical à l'institution genevoise dans laquelle il a été transféré, sans qu'il ait lui-même autorisé la levée du secret médical.</w:t>
      </w:r>
    </w:p>
    <w:p>
      <w:r>
        <w:rPr>
          <w:b/>
        </w:rPr>
        <w:t>E. 3.3.1</w:t>
      </w:r>
    </w:p>
    <w:p>
      <w:r>
        <w:t>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(Dupuis et al., op. cit., p. 1872). Les médecins sont des personnes qui, ensuite de leur formation dans une haute école de médecine agréée par l’Etat, agissent sur le plan thérapeutique ou simplement posent des diagnostics; à titre d’exemples, on peut citer les médecins d’hôpitaux, les directeurs médicaux de laboratoires de médecine, les pathologistes, les assistants, les stagiaires qui s’occupent des patients (Dupuis et al., op. cit., p. 1873). L’art. 321 ch. 3 CP fait de l’obligation légale de renseigner une autorité ou de témoigner en justice un motif justificatif, ôtant à la révélation tout caractère illicite.</w:t>
      </w:r>
    </w:p>
    <w:p>
      <w:r>
        <w:rPr>
          <w:b/>
        </w:rPr>
        <w:t>E. 3.3.2</w:t>
      </w:r>
    </w:p>
    <w:p>
      <w:r>
        <w:t>En l’espèce, le recourant, qui fait l’objet d’une mesure thérapeutique institutionnelle, au sens de l’art. 59 ch. 3 CP, a été détenu notamment à la Prison de K.________ avant d'être transféré dans l'établissement d'exécution de mesures B.________ en été 2014. C’est dans ces circonstances que le dossier médical a été transmis aux autorités d'exécution des peines genevoises. En admettant que le médecin de la prison soit en principe tenu au secret médical en vertu de l’art. 80 al. 1 LSP, il ne viole pas un tel secret s’il transmet le dossier à celui qui, comme dans le cas présent, lui succède dans les fonctions thérapeutiques en question, ni d’ailleurs s’il informe les autorités pénales qu’il est tenu de renseigner (cf. Oberholzer, in : Niggli/Wiprächtiger [éd.], Basler Kommentar Strafrecht II, 3 e éd. Bâle 2013, n. 20 ad art. 321 CP; CREP 19 février 2014/134 c. 2c). Il résulte de ce qui précède que les éléments constitutifs de l’infraction de violation du secret professionnel ne sont manifestement pas réunis. C’est donc à juste titre que le Procureur général a rendu une ordonnance de non-entrée en matière sur ce point également.</w:t>
      </w:r>
    </w:p>
    <w:p>
      <w:r>
        <w:rPr>
          <w:b/>
        </w:rPr>
        <w:t>E. 3.4</w:t>
      </w:r>
    </w:p>
    <w:p>
      <w:r>
        <w:t>N.________ reproche ensuite aux autorités pénitentiaires vaudoises de ne pas lui avoir donné la possibilité d'être opéré de son poignet, intervention chirurgicale dont il prétend qu'elle était nécessaire. Or, le recourant admet clairement avoir été soigné (attelle, crème, analgésiques, patchs anti-inflammatoires et poches chaudes), sans apporter aucun élément démontrant la nécessité d'une intervention chirurgicale ni que l'absence de celle-ci aurait eu une quelconque conséquence dans le cas particulier. Mal fondé, le recours doit aussi être rejeté sur ce point.</w:t>
      </w:r>
    </w:p>
    <w:p>
      <w:r>
        <w:rPr>
          <w:b/>
        </w:rPr>
        <w:t>E. 3.5</w:t>
      </w:r>
    </w:p>
    <w:p>
      <w:r>
        <w:t>Dans sa plainte du 10 août 2014, N.________ se réfère à une décision qui aurait été prise par la cheffe du service pénitentiaire en lien avec une réclamation adressée au directeur de la prison. On ne voit pas quel grief le recourant entend invoquer de ce chef et, dans cette mesure, son moyen doit être rejeté.</w:t>
      </w:r>
    </w:p>
    <w:p>
      <w:r>
        <w:rPr>
          <w:b/>
        </w:rPr>
        <w:t>E. 4</w:t>
      </w:r>
    </w:p>
    <w:p>
      <w:r>
        <w:t>En définitive, les demandes de récusation et le recours, tous manifestement mal fondés, doivent être rejetés. Les frais de la procédure de recours, constitués en l'espèce du seul 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La demande de récusation formulée le 27 août 2014 à l'encontre des membres de la Chambre des recours pénale du Tribunal cantonal vaudois est rejetée. II. La demande de récusation formulée le 27 août 2014 à l'encontre du Procureur général du canton de Vaud est rejetée. III . Le recours est rejeté. IV. L'ordonnance du 21 août 2014 est confirmée. V. Les frais du présent arrêt, par 990 fr. (neuf cent nonante francs), sont mis à la charge de N.________. VI. Le présent arrêt est exécutoire. Le président :               La greffière : Du L'arrêt qui précède, dont la rédaction a été approuvée à huis clos, est notifié, par l'envoi d'une copie complète, à : - M. N.________,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