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904 vom 22. Oktober 2014</w:t>
      </w:r>
    </w:p>
    <w:p>
      <w:r>
        <w:t>VD Tribunal cantonal, 2014-10-22, FR</w:t>
      </w:r>
    </w:p>
    <w:p>
      <w:r>
        <w:rPr>
          <w:b/>
        </w:rPr>
        <w:t xml:space="preserve">Quelle: </w:t>
      </w:r>
      <w:r>
        <w:t>https://mcp.opencaselaw.ch/entscheid/vd_findinfo_D_cision___2014___904</w:t>
      </w:r>
    </w:p>
    <w:p>
      <w:r>
        <w:t>FR: VD_FINDINFO Décision / 2014 / 904 du 22 octobre 2014</w:t>
      </w:r>
    </w:p>
    <w:p>
      <w:r>
        <w:t>IT: VD_FINDINFO Décision / 2014 / 904 del 22 ottobre 2014</w:t>
      </w:r>
    </w:p>
    <w:p>
      <w:pPr>
        <w:pStyle w:val="Heading2"/>
      </w:pPr>
      <w:r>
        <w:t>Regeste</w:t>
      </w:r>
    </w:p>
    <w:p>
      <w:r>
        <w:t>DÉTENTION PROVISOIRE, RISQUE DE COMMISSION, PROLONGATION, MESURE DE SUBSTITUTION À LA DÉTENTION, PROPORTIONNALITÉ | 212 al. 3 CPP (CH), 221 al. 2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Le recourant soutient en substance que le risque de passage à l'acte serait aujourd'hui écarté. Subsidiairement, il soutient que les mesures de substitution qu'il propose préviendraient efficacement ce risque.</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ATF 137 IV 122 c. 5.2, JT 2012 IV 79; Schmocker, in : Kuhn/Jeanneret (éd.), Commentaire romand, Code de procédure pénale suisse, Bâle 2011, n. 22 ad art. 221 CPP et les références citées). En particulier en cas de menace de crime de violence, il y a lieu de prendre en compte l’état psychique de la personne soupçonnée, respectivement son imprévisibilité ou son agressivité (ATF 140 IV 19 c. 2.1.1;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2.3</w:t>
      </w:r>
    </w:p>
    <w:p>
      <w:r>
        <w:t>En l'espèce, le risque qui doit être évalué est celui que le recourant s'en prenne à la vie de T.________ ou éventuellement à celle du frère du recourant, qui serait l'amant de celle-ci. De façon générale, le degré de gravité que suppose l'application de l'art. 221 al. 2 CPP est atteint et doit conduire à faire preuve de la prudence que prescrit la jurisprudence en présence du risque d'un passage à l'acte prenant la forme d'un acte délictueux particulièrement grave. Tout d'abord, s'il est vrai que le rapport de l'expertise psychiatrique ne comporte pas de déterminations claires sur le risque de passage à l'acte, il ressort des déterminations orales des experts qu'a recueillies le Ministère public qu'un risque de passage à l'acte "ne peut être exclu". De façon générale, le rapport d'expertise met en évidence le fait que les difficultés conjugales rencontrées par le recourant, qui souffre d'une pathologie qualifiée de grave, l'ont fortement déstabilisé sur le plan psychique, au point les experts considèrent qu'en l'absence de suivi institutionnel, le risque de récidive, soit de réitération de menaces de mort, doit toujours être qualifié de très élevé, alors que le recourant a déjà passé plusieurs mois en détention. Or, lorsque ce dernier a été entendu par le Ministère public, il s'est clairement opposé à la mesure thérapeutique envisagée, dont il a contesté l'utilité en indiquant qu'il ne se sentait pas malade. De telles déclarations ne peuvent que susciter l'inquiétude. Le fait que le recourant déclare aujourd'hui accepter d'être soumis à une mesure de substitution prenant la forme d'un traitement ambulatoire aux contours peu définis ne permet pas, en l'état, d'être convaincu d'une véritable prise de conscience. Sur le principe, le maintien en détention apparaît dès lors toujours justifié par des craintes concrètes de passage à l'acte. Le recourant se prévaut de son anamnèse telle qu'elle ressort du rapport d'expertise, en faisant valoir qu'en dépit du fait qu'il souffre vraisemblablement de troubles psychiques depuis un certain nombre d'années, il n'aurait pas de passé de violence physique. Toutefois, ainsi que le recourant l'admet lui-même, il a en réalité déjà été à plusieurs reprises hospitalisé en raison d'un risque hétéro-agressif dans le contexte du conflit conjugal, il est vrai sur un mode volontaire (cf. rapport d'expertise du 8 octobre 2014, p. 5). De même, à la lecture de cette anamnèse, l'existence de menaces de mort caractérisées paraît être un élément nouveau, apparu seulement au printemps 2014. Au vu de ce qui précède, l'historique du recourant n'affaiblit pas les craintes d'un passage à l'acte. Le recourant fait également valoir que l'avancement de l'instruction devrait plutôt conduire à relativiser la gravité des menaces qui lui sont reprochées et, partant, le risque d'un passage à l'acte. Il est vrai que le témoignage de la fille aînée des époux, qui est majeure, lui est particulièrement favorable (cf. PV aud. 5 du 19 août 2014). Il y a toutefois lieu de relever que celle-ci a été placée dans une position difficile, dans la mesure où, d'une part, le recourant ne cache pas qu'il la considère comme un véritable soutien, qui pourrait l'aider face à ses difficultés psychiques (cf. PV aud. 6), et où, d'autre part, elle est, semble-t-il, perçue par d'autres membres de la famille comme partiellement responsable de la situation (cf. PV aud. 5, lignes 47 à 49). Il ressort en outre clairement de son audition que ses relations avec sa mère étaient alors fortement détériorées. De même, les déclarations de T.________ selon lesquelles elle serait favorable à la mise en liberté du recourant (cf. PV aud. 4, lignes 34 à 37, et PV aud. 6, lignes 52 à 54) apparaissent au moins en partie motivées par le souci d'améliorer ses relations avec sa famille, en particulier avec ses filles. On ne saurait dès lors accorder un poids décisif à ces éléments. Enfin, le recourant évoque le fait qu'il existerait désormais des indices clairs de l'existence d'une relation intime entre son frère et T.________ (acte de recours, p. 3). S'il est vrai qu'on peut s'interroger sur les déclarations de cette dernière (cf. PV aud. 4, lignes 28 à 30) et de la fille aînée des époux (cf. PV aud. 5, lignes 82 à 85) sur ce point, ces indices sont plutôt de nature à renforcer les craintes d'un passage à l'acte.</w:t>
      </w:r>
    </w:p>
    <w:p>
      <w:r>
        <w:rPr>
          <w:b/>
        </w:rPr>
        <w:t>E. 3</w:t>
      </w:r>
    </w:p>
    <w:p>
      <w:r>
        <w:t>Le tribunal compétent ordonne une ou plusieurs mesures moins sévères en lieu et place de la détention si ces mesures permettent d’atteindre le même but que la détention (art. 237 al. 1 CPP). En l'espèce, les mesures de substitution proposées, à savoir une interdiction d'approcher T.________ et la poursuite du suivi psychiatrique du recourant, qui avait été hospitalisé quelques semaines avant les actes qui lui sont reprochés, ne sont pas suffisantes. Les experts se sont en effet prononcés en faveur d'un traitement institutionnel plutôt qu'ambulatoire. Posent également problème l'attitude du recourant, qui a refusé la mesure préconisée par les experts, et le fait qu'aucun suivi adapté n'a concrètement été prévu en vue de sa mise en liberté, étant relevé que le suivi du recourant avant sa mise en détention ne l'a pas empêché de proférer les menaces de mort qui lui sont aujourd'hui reprochées.</w:t>
      </w:r>
    </w:p>
    <w:p>
      <w:r>
        <w:rPr>
          <w:b/>
        </w:rPr>
        <w:t>E. 4</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le recourant est principalement prévenu de menaces au sens de l'art. 180 CP, infraction qui l'expose à une peine privative de liberté de trois ans au plus ou d'une peine pécuniaire, étant rappelé qu'un cas de vol a été joint à la présente cause pénale. Compte tenu de la gravité des menaces proférées, de leur possible répétition et du fait que la prolongation requise porte sur une durée supplémentaire d'un mois, on admettra que le principe de proportionnalité est encore respecté, quand bien même une diminution importante de responsabilité est retenue par les experts. On relève à ce titre que l'accusation a été engagée devant le Tribunal correctionnel de l'arrondissement de La Broye et du Nord vaudois le 20 octobre 2014.</w:t>
      </w:r>
    </w:p>
    <w:p>
      <w:r>
        <w:rPr>
          <w:b/>
        </w:rPr>
        <w:t>E. 5</w:t>
      </w:r>
    </w:p>
    <w:p>
      <w:r>
        <w:t>En définitive, le recours doit être rejeté sans autre échange d’écritures (art. 390 al. 2 CPP) et l'ordonnance du 14 octobre 2014 confirmée. L’indemnité due au défenseur d’office du recourant sera fixée à 630 fr., plus la TVA, par 50 fr. 40, ce qui porte le montant alloué à 680 fr. 40. Les frais de la procédure de recours, constitués en l'espèce de l'émolument d’arrêt, par 1'210 fr. (art. 20 al. 1 TFIP  [Tarif des frais de procédure et indemnités en matière pénale du 28 septembre 2010; RSV 312.03.1]), et des frais imputables à la défense d’office (art. 422 al. 1 et al. 2 let. a CPP), par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14 octobre 2014 est confirmée. III. L’indemnité due au défenseur d’office de G.________ est fixée à 680 fr. 40 (six cent huitante francs et quarante centimes). IV. L'émolument d’arrêt, par 1'210 fr. (mille deux cent dix francs), ainsi que l’indemnité due au défenseur d’office de G.________, par 680 fr. 40 (six cent huitante francs et quarante centimes), sont mis à la charge de ce dernier. V. Le remboursement à l’Etat de l’indemnité allouée au chiffre III ci-dessus sera exigible pour autant que la situation économique de G.________ se soit améliorée. VI. Le présent arrêt est exécutoire. Le président :               Le greffier : Du L'arrêt qui précède, dont la rédaction a été approuvée à huis clos, est notifié, par l'envoi d'une copie complète, à : - Mme Annik Nicod, avocate (pour G.________), - Ministère public central, et communiqué à : ‑ Mme la Présidente du Tribunal des mesures de contrainte, - M. le Procureur de l’arrondissement du Nord vaudois, - Mme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